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49" w:rsidRDefault="00105C0D">
      <w:pPr>
        <w:adjustRightInd w:val="0"/>
        <w:snapToGrid w:val="0"/>
        <w:jc w:val="center"/>
        <w:rPr>
          <w:b/>
          <w:sz w:val="24"/>
          <w:lang w:val="es-ES"/>
        </w:rPr>
      </w:pPr>
      <w:r>
        <w:rPr>
          <w:b/>
          <w:sz w:val="24"/>
          <w:lang w:val="es-ES"/>
        </w:rPr>
        <w:t>Seminario 2018 de la Tecnología de Producción Agrícola</w:t>
      </w:r>
      <w:bookmarkStart w:id="0" w:name="_GoBack"/>
      <w:bookmarkEnd w:id="0"/>
    </w:p>
    <w:tbl>
      <w:tblPr>
        <w:tblW w:w="89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9"/>
        <w:gridCol w:w="2145"/>
        <w:gridCol w:w="1086"/>
        <w:gridCol w:w="636"/>
        <w:gridCol w:w="263"/>
        <w:gridCol w:w="1447"/>
        <w:gridCol w:w="1720"/>
      </w:tblGrid>
      <w:tr w:rsidR="00866E49" w:rsidRPr="00CE28D5">
        <w:trPr>
          <w:cantSplit/>
          <w:trHeight w:hRule="exact" w:val="902"/>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Nombre del seminario:</w:t>
            </w:r>
          </w:p>
        </w:tc>
        <w:tc>
          <w:tcPr>
            <w:tcW w:w="7297" w:type="dxa"/>
            <w:gridSpan w:val="6"/>
            <w:tcBorders>
              <w:top w:val="single" w:sz="4" w:space="0" w:color="auto"/>
              <w:left w:val="single" w:sz="4" w:space="0" w:color="auto"/>
              <w:bottom w:val="single" w:sz="4" w:space="0" w:color="auto"/>
              <w:right w:val="single" w:sz="4" w:space="0" w:color="auto"/>
            </w:tcBorders>
            <w:vAlign w:val="center"/>
          </w:tcPr>
          <w:p w:rsidR="00866E49" w:rsidRDefault="00105C0D" w:rsidP="009A6395">
            <w:pPr>
              <w:spacing w:line="320" w:lineRule="exact"/>
              <w:jc w:val="center"/>
              <w:rPr>
                <w:lang w:val="es-ES"/>
              </w:rPr>
            </w:pPr>
            <w:r>
              <w:rPr>
                <w:rFonts w:hint="eastAsia"/>
                <w:lang w:val="es-ES"/>
              </w:rPr>
              <w:t>Seminario 2018 de la Tecnolog</w:t>
            </w:r>
            <w:r w:rsidR="00243948">
              <w:rPr>
                <w:rFonts w:hint="eastAsia"/>
                <w:lang w:val="es-ES"/>
              </w:rPr>
              <w:t>í</w:t>
            </w:r>
            <w:r>
              <w:rPr>
                <w:rFonts w:hint="eastAsia"/>
                <w:lang w:val="es-ES"/>
              </w:rPr>
              <w:t>a de Producci</w:t>
            </w:r>
            <w:r>
              <w:rPr>
                <w:rFonts w:hint="eastAsia"/>
                <w:lang w:val="es-ES"/>
              </w:rPr>
              <w:t>ó</w:t>
            </w:r>
            <w:r>
              <w:rPr>
                <w:rFonts w:hint="eastAsia"/>
                <w:lang w:val="es-ES"/>
              </w:rPr>
              <w:t>n Agr</w:t>
            </w:r>
            <w:r>
              <w:rPr>
                <w:rFonts w:hint="eastAsia"/>
                <w:lang w:val="es-ES"/>
              </w:rPr>
              <w:t>í</w:t>
            </w:r>
            <w:r>
              <w:rPr>
                <w:rFonts w:hint="eastAsia"/>
                <w:lang w:val="es-ES"/>
              </w:rPr>
              <w:t>cola.</w:t>
            </w:r>
          </w:p>
        </w:tc>
      </w:tr>
      <w:tr w:rsidR="00866E49" w:rsidRPr="00CE28D5">
        <w:trPr>
          <w:cantSplit/>
          <w:trHeight w:hRule="exact" w:val="843"/>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Nombre del Organizador</w:t>
            </w:r>
          </w:p>
        </w:tc>
        <w:tc>
          <w:tcPr>
            <w:tcW w:w="7297" w:type="dxa"/>
            <w:gridSpan w:val="6"/>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Centro de Cooperación Económica Exterior del Ministerio de Agricultura de China (FECC)</w:t>
            </w:r>
          </w:p>
        </w:tc>
      </w:tr>
      <w:tr w:rsidR="00866E49">
        <w:trPr>
          <w:cantSplit/>
          <w:trHeight w:hRule="exact" w:val="672"/>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Fecha</w:t>
            </w:r>
          </w:p>
        </w:tc>
        <w:tc>
          <w:tcPr>
            <w:tcW w:w="3867" w:type="dxa"/>
            <w:gridSpan w:val="3"/>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1 de Septiembre---30 de Septiembre de  2018</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Idioma a usar</w:t>
            </w:r>
          </w:p>
        </w:tc>
        <w:tc>
          <w:tcPr>
            <w:tcW w:w="1720"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Español</w:t>
            </w:r>
          </w:p>
        </w:tc>
      </w:tr>
      <w:tr w:rsidR="00866E49" w:rsidRPr="00CE28D5">
        <w:trPr>
          <w:cantSplit/>
          <w:trHeight w:hRule="exact" w:val="875"/>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280" w:lineRule="exact"/>
              <w:jc w:val="center"/>
              <w:rPr>
                <w:lang w:val="es-ES"/>
              </w:rPr>
            </w:pPr>
            <w:r>
              <w:rPr>
                <w:lang w:val="es-ES"/>
              </w:rPr>
              <w:t>Requisitos para los invitados</w:t>
            </w:r>
          </w:p>
        </w:tc>
        <w:tc>
          <w:tcPr>
            <w:tcW w:w="7297" w:type="dxa"/>
            <w:gridSpan w:val="6"/>
            <w:tcBorders>
              <w:top w:val="single" w:sz="4" w:space="0" w:color="auto"/>
              <w:left w:val="single" w:sz="4" w:space="0" w:color="auto"/>
              <w:bottom w:val="single" w:sz="4" w:space="0" w:color="auto"/>
              <w:right w:val="single" w:sz="4" w:space="0" w:color="auto"/>
            </w:tcBorders>
          </w:tcPr>
          <w:p w:rsidR="00866E49" w:rsidRDefault="00105C0D">
            <w:pPr>
              <w:spacing w:line="320" w:lineRule="exact"/>
              <w:jc w:val="center"/>
              <w:rPr>
                <w:lang w:val="es-ES"/>
              </w:rPr>
            </w:pPr>
            <w:r>
              <w:rPr>
                <w:lang w:val="es-ES"/>
              </w:rPr>
              <w:t>Funcionarios y empleados relacionados</w:t>
            </w:r>
            <w:r>
              <w:rPr>
                <w:rFonts w:hint="eastAsia"/>
                <w:lang w:val="pt-PT"/>
              </w:rPr>
              <w:t xml:space="preserve"> con</w:t>
            </w:r>
            <w:r>
              <w:rPr>
                <w:lang w:val="es-ES"/>
              </w:rPr>
              <w:t xml:space="preserve"> los departamentos responsables de la agricultura de colombia.</w:t>
            </w:r>
          </w:p>
        </w:tc>
      </w:tr>
      <w:tr w:rsidR="00866E49">
        <w:trPr>
          <w:cantSplit/>
          <w:trHeight w:hRule="exact" w:val="824"/>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280" w:lineRule="exact"/>
              <w:jc w:val="center"/>
              <w:rPr>
                <w:lang w:val="es-ES"/>
              </w:rPr>
            </w:pPr>
            <w:r>
              <w:rPr>
                <w:lang w:val="es-ES"/>
              </w:rPr>
              <w:t>Número de participantes</w:t>
            </w:r>
          </w:p>
        </w:tc>
        <w:tc>
          <w:tcPr>
            <w:tcW w:w="7297" w:type="dxa"/>
            <w:gridSpan w:val="6"/>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30</w:t>
            </w:r>
          </w:p>
        </w:tc>
      </w:tr>
      <w:tr w:rsidR="00866E49">
        <w:trPr>
          <w:cantSplit/>
          <w:trHeight w:hRule="exact" w:val="991"/>
          <w:jc w:val="center"/>
        </w:trPr>
        <w:tc>
          <w:tcPr>
            <w:tcW w:w="1649" w:type="dxa"/>
            <w:vMerge w:val="restart"/>
            <w:tcBorders>
              <w:top w:val="single" w:sz="4" w:space="0" w:color="auto"/>
              <w:left w:val="single" w:sz="4" w:space="0" w:color="auto"/>
              <w:right w:val="single" w:sz="4" w:space="0" w:color="auto"/>
            </w:tcBorders>
            <w:vAlign w:val="center"/>
          </w:tcPr>
          <w:p w:rsidR="00866E49" w:rsidRDefault="00105C0D">
            <w:pPr>
              <w:spacing w:line="280" w:lineRule="exact"/>
              <w:jc w:val="center"/>
              <w:rPr>
                <w:lang w:val="es-ES"/>
              </w:rPr>
            </w:pPr>
            <w:r>
              <w:rPr>
                <w:lang w:val="es-ES"/>
              </w:rPr>
              <w:t>Requisitos para los participantes</w:t>
            </w: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jc w:val="center"/>
              <w:rPr>
                <w:lang w:val="es-ES"/>
              </w:rPr>
            </w:pPr>
            <w:r>
              <w:rPr>
                <w:lang w:val="es-ES"/>
              </w:rPr>
              <w:t>Edad</w:t>
            </w:r>
          </w:p>
        </w:tc>
        <w:tc>
          <w:tcPr>
            <w:tcW w:w="5152" w:type="dxa"/>
            <w:gridSpan w:val="5"/>
            <w:tcBorders>
              <w:top w:val="single" w:sz="4" w:space="0" w:color="auto"/>
              <w:left w:val="single" w:sz="4" w:space="0" w:color="auto"/>
              <w:bottom w:val="single" w:sz="4" w:space="0" w:color="auto"/>
              <w:right w:val="single" w:sz="4" w:space="0" w:color="auto"/>
            </w:tcBorders>
          </w:tcPr>
          <w:p w:rsidR="00866E49" w:rsidRDefault="00105C0D">
            <w:pPr>
              <w:spacing w:line="320" w:lineRule="exact"/>
              <w:jc w:val="left"/>
              <w:rPr>
                <w:lang w:val="es-ES"/>
              </w:rPr>
            </w:pPr>
            <w:r>
              <w:rPr>
                <w:lang w:val="es-ES"/>
              </w:rPr>
              <w:t xml:space="preserve"> </w:t>
            </w:r>
            <w:r>
              <w:rPr>
                <w:rFonts w:hint="eastAsia"/>
              </w:rPr>
              <w:t>M</w:t>
            </w:r>
            <w:r>
              <w:rPr>
                <w:lang w:val="es-ES"/>
              </w:rPr>
              <w:t>enor que 45 años</w:t>
            </w:r>
          </w:p>
        </w:tc>
      </w:tr>
      <w:tr w:rsidR="00866E49" w:rsidRPr="00CE28D5">
        <w:trPr>
          <w:cantSplit/>
          <w:trHeight w:hRule="exact" w:val="3401"/>
          <w:jc w:val="center"/>
        </w:trPr>
        <w:tc>
          <w:tcPr>
            <w:tcW w:w="1649" w:type="dxa"/>
            <w:vMerge/>
            <w:tcBorders>
              <w:left w:val="single" w:sz="4" w:space="0" w:color="auto"/>
              <w:right w:val="single" w:sz="4" w:space="0" w:color="auto"/>
            </w:tcBorders>
            <w:vAlign w:val="center"/>
          </w:tcPr>
          <w:p w:rsidR="00866E49" w:rsidRDefault="00866E49">
            <w:pPr>
              <w:spacing w:line="280" w:lineRule="exact"/>
              <w:jc w:val="center"/>
              <w:rPr>
                <w:lang w:val="es-ES"/>
              </w:rPr>
            </w:pP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Requisitos para la salud</w:t>
            </w:r>
          </w:p>
        </w:tc>
        <w:tc>
          <w:tcPr>
            <w:tcW w:w="5152" w:type="dxa"/>
            <w:gridSpan w:val="5"/>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300" w:lineRule="exact"/>
              <w:rPr>
                <w:lang w:val="es-ES"/>
              </w:rPr>
            </w:pPr>
            <w:r>
              <w:rPr>
                <w:szCs w:val="21"/>
                <w:lang w:val="es-ES"/>
              </w:rPr>
              <w:t>En buen estado de salud, con el certificado sanitario expedido por los hospitales públicos locales; sin enfermedades que no se permite la entrada a China por las leyes y reglamentos de China; sin enfermedades crónicas y severas como hipertensión grave, enfermedades cardiovasculares / cerebro vasculares ni diabetes; sin enfermedades de mental ni enfermedades epidémicas que puedan causar grave amenaza para la salud pública; no en el proceso de recuperación después de una operación importante o en el proceso de enfermedades agudas; no deshabilitados graves ni embarazadas.</w:t>
            </w:r>
          </w:p>
        </w:tc>
      </w:tr>
      <w:tr w:rsidR="00866E49" w:rsidRPr="00CE28D5">
        <w:trPr>
          <w:cantSplit/>
          <w:trHeight w:hRule="exact" w:val="997"/>
          <w:jc w:val="center"/>
        </w:trPr>
        <w:tc>
          <w:tcPr>
            <w:tcW w:w="1649" w:type="dxa"/>
            <w:vMerge/>
            <w:tcBorders>
              <w:left w:val="single" w:sz="4" w:space="0" w:color="auto"/>
              <w:right w:val="single" w:sz="4" w:space="0" w:color="auto"/>
            </w:tcBorders>
            <w:vAlign w:val="center"/>
          </w:tcPr>
          <w:p w:rsidR="00866E49" w:rsidRDefault="00866E49">
            <w:pPr>
              <w:spacing w:line="280" w:lineRule="exact"/>
              <w:jc w:val="center"/>
              <w:rPr>
                <w:lang w:val="es-ES"/>
              </w:rPr>
            </w:pP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Requisitos para el idioma a usar</w:t>
            </w:r>
          </w:p>
        </w:tc>
        <w:tc>
          <w:tcPr>
            <w:tcW w:w="5152" w:type="dxa"/>
            <w:gridSpan w:val="5"/>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rPr>
                <w:lang w:val="es-ES"/>
              </w:rPr>
            </w:pPr>
            <w:r>
              <w:rPr>
                <w:szCs w:val="21"/>
                <w:lang w:val="es-ES"/>
              </w:rPr>
              <w:t>Capaz de entender, hablar, leer y escribir el Español</w:t>
            </w:r>
          </w:p>
        </w:tc>
      </w:tr>
      <w:tr w:rsidR="00866E49" w:rsidRPr="00CE28D5">
        <w:trPr>
          <w:cantSplit/>
          <w:trHeight w:hRule="exact" w:val="987"/>
          <w:jc w:val="center"/>
        </w:trPr>
        <w:tc>
          <w:tcPr>
            <w:tcW w:w="1649" w:type="dxa"/>
            <w:vMerge/>
            <w:tcBorders>
              <w:left w:val="single" w:sz="4" w:space="0" w:color="auto"/>
              <w:bottom w:val="single" w:sz="4" w:space="0" w:color="auto"/>
              <w:right w:val="single" w:sz="4" w:space="0" w:color="auto"/>
            </w:tcBorders>
            <w:vAlign w:val="center"/>
          </w:tcPr>
          <w:p w:rsidR="00866E49" w:rsidRDefault="00866E49">
            <w:pPr>
              <w:spacing w:line="280" w:lineRule="exact"/>
              <w:jc w:val="center"/>
              <w:rPr>
                <w:lang w:val="es-ES"/>
              </w:rPr>
            </w:pP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Otros</w:t>
            </w:r>
          </w:p>
        </w:tc>
        <w:tc>
          <w:tcPr>
            <w:tcW w:w="5152" w:type="dxa"/>
            <w:gridSpan w:val="5"/>
            <w:tcBorders>
              <w:top w:val="single" w:sz="4" w:space="0" w:color="auto"/>
              <w:left w:val="single" w:sz="4" w:space="0" w:color="auto"/>
              <w:bottom w:val="single" w:sz="4" w:space="0" w:color="auto"/>
              <w:right w:val="single" w:sz="4" w:space="0" w:color="auto"/>
            </w:tcBorders>
            <w:vAlign w:val="center"/>
          </w:tcPr>
          <w:p w:rsidR="00866E49" w:rsidRDefault="00105C0D">
            <w:pPr>
              <w:spacing w:line="320" w:lineRule="exact"/>
              <w:rPr>
                <w:lang w:val="es-ES"/>
              </w:rPr>
            </w:pPr>
            <w:r>
              <w:rPr>
                <w:rFonts w:hint="eastAsia"/>
                <w:lang w:val="pt-PT"/>
              </w:rPr>
              <w:t>L</w:t>
            </w:r>
            <w:r>
              <w:rPr>
                <w:lang w:val="es-ES"/>
              </w:rPr>
              <w:t>os participantes del seminario no pueden llevar con cónyuge, familias o amigos durante la estadía en China.</w:t>
            </w:r>
          </w:p>
        </w:tc>
      </w:tr>
      <w:tr w:rsidR="00866E49">
        <w:trPr>
          <w:cantSplit/>
          <w:trHeight w:hRule="exact" w:val="852"/>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Localización del seminario</w:t>
            </w: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Ciudad de Beijing</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Clima local</w:t>
            </w:r>
          </w:p>
        </w:tc>
        <w:tc>
          <w:tcPr>
            <w:tcW w:w="3167"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ind w:firstLineChars="200" w:firstLine="420"/>
              <w:jc w:val="left"/>
              <w:rPr>
                <w:lang w:val="es-ES"/>
              </w:rPr>
            </w:pPr>
            <w:r>
              <w:rPr>
                <w:lang w:val="es-ES"/>
              </w:rPr>
              <w:t>19</w:t>
            </w:r>
            <w:r>
              <w:rPr>
                <w:rFonts w:ascii="SimSun" w:hAnsi="SimSun"/>
                <w:lang w:val="es-ES"/>
              </w:rPr>
              <w:t>℃</w:t>
            </w:r>
            <w:r>
              <w:rPr>
                <w:lang w:val="es-ES"/>
              </w:rPr>
              <w:t>-33</w:t>
            </w:r>
            <w:r>
              <w:rPr>
                <w:rFonts w:ascii="SimSun" w:hAnsi="SimSun"/>
                <w:lang w:val="es-ES"/>
              </w:rPr>
              <w:t>℃</w:t>
            </w:r>
            <w:r>
              <w:rPr>
                <w:rFonts w:ascii="SimSun" w:hAnsi="SimSun" w:hint="eastAsia"/>
              </w:rPr>
              <w:t xml:space="preserve"> </w:t>
            </w:r>
          </w:p>
        </w:tc>
      </w:tr>
      <w:tr w:rsidR="00866E49" w:rsidRPr="00495451">
        <w:trPr>
          <w:cantSplit/>
          <w:trHeight w:hRule="exact" w:val="2987"/>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lastRenderedPageBreak/>
              <w:t>Ciudades a visitar</w:t>
            </w:r>
          </w:p>
        </w:tc>
        <w:tc>
          <w:tcPr>
            <w:tcW w:w="2145" w:type="dxa"/>
            <w:tcBorders>
              <w:top w:val="single" w:sz="4" w:space="0" w:color="auto"/>
              <w:left w:val="single" w:sz="4" w:space="0" w:color="auto"/>
              <w:bottom w:val="single" w:sz="4" w:space="0" w:color="auto"/>
              <w:right w:val="single" w:sz="4" w:space="0" w:color="auto"/>
            </w:tcBorders>
            <w:vAlign w:val="center"/>
          </w:tcPr>
          <w:p w:rsidR="00866E49" w:rsidRDefault="00495451" w:rsidP="00495451">
            <w:pPr>
              <w:spacing w:line="280" w:lineRule="exact"/>
              <w:jc w:val="left"/>
              <w:rPr>
                <w:lang w:val="es-ES"/>
              </w:rPr>
            </w:pPr>
            <w:r w:rsidRPr="00495451">
              <w:rPr>
                <w:lang w:val="es-ES"/>
              </w:rPr>
              <w:t>La ciudad Guangzhou, Yangjiang, Maoming, Zhanjiang, Shenzhen de la provincia Guangdong</w:t>
            </w:r>
            <w:r w:rsidR="00105C0D">
              <w:rPr>
                <w:lang w:val="es-ES"/>
              </w:rPr>
              <w:t>; La ciudad</w:t>
            </w:r>
            <w:r w:rsidR="00105C0D">
              <w:rPr>
                <w:rFonts w:hint="eastAsia"/>
                <w:lang w:val="es-ES"/>
              </w:rPr>
              <w:t xml:space="preserve"> Haikou</w:t>
            </w:r>
            <w:r w:rsidR="00105C0D">
              <w:rPr>
                <w:lang w:val="es-ES"/>
              </w:rPr>
              <w:t xml:space="preserve">, </w:t>
            </w:r>
            <w:r w:rsidR="00105C0D">
              <w:rPr>
                <w:rFonts w:hint="eastAsia"/>
                <w:lang w:val="es-ES"/>
              </w:rPr>
              <w:t>Danzhou</w:t>
            </w:r>
            <w:r w:rsidR="00105C0D">
              <w:rPr>
                <w:lang w:val="es-ES"/>
              </w:rPr>
              <w:t xml:space="preserve">, </w:t>
            </w:r>
            <w:r w:rsidR="00105C0D">
              <w:rPr>
                <w:rFonts w:hint="eastAsia"/>
                <w:lang w:val="es-ES"/>
              </w:rPr>
              <w:t>Wanning</w:t>
            </w:r>
            <w:r w:rsidR="00105C0D">
              <w:rPr>
                <w:lang w:val="es-ES"/>
              </w:rPr>
              <w:t xml:space="preserve">, </w:t>
            </w:r>
            <w:r w:rsidR="00105C0D">
              <w:rPr>
                <w:rFonts w:hint="eastAsia"/>
                <w:lang w:val="es-ES"/>
              </w:rPr>
              <w:t>Lingshui Chengmai</w:t>
            </w:r>
            <w:r w:rsidR="00105C0D">
              <w:rPr>
                <w:lang w:val="es-ES"/>
              </w:rPr>
              <w:t xml:space="preserve"> de la provincia Hainan.</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Clima local</w:t>
            </w:r>
          </w:p>
        </w:tc>
        <w:tc>
          <w:tcPr>
            <w:tcW w:w="3167"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line="300" w:lineRule="exact"/>
              <w:rPr>
                <w:lang w:val="es-ES"/>
              </w:rPr>
            </w:pPr>
            <w:r>
              <w:rPr>
                <w:lang w:val="es-ES"/>
              </w:rPr>
              <w:t xml:space="preserve">La ciudad </w:t>
            </w:r>
            <w:r w:rsidR="00495451">
              <w:rPr>
                <w:rFonts w:hint="eastAsia"/>
                <w:lang w:val="es-ES"/>
              </w:rPr>
              <w:t>Guangzhou</w:t>
            </w:r>
            <w:r>
              <w:rPr>
                <w:lang w:val="es-ES"/>
              </w:rPr>
              <w:t xml:space="preserve">, </w:t>
            </w:r>
            <w:r w:rsidR="00495451">
              <w:rPr>
                <w:rFonts w:hint="eastAsia"/>
                <w:lang w:val="es-ES"/>
              </w:rPr>
              <w:t>Yangjiang</w:t>
            </w:r>
            <w:r>
              <w:rPr>
                <w:lang w:val="es-ES"/>
              </w:rPr>
              <w:t xml:space="preserve">, </w:t>
            </w:r>
            <w:r w:rsidR="00495451">
              <w:rPr>
                <w:rFonts w:hint="eastAsia"/>
                <w:lang w:val="es-ES"/>
              </w:rPr>
              <w:t>Maoming</w:t>
            </w:r>
            <w:r>
              <w:rPr>
                <w:lang w:val="es-ES"/>
              </w:rPr>
              <w:t>,</w:t>
            </w:r>
            <w:r>
              <w:rPr>
                <w:rFonts w:hint="eastAsia"/>
                <w:lang w:val="es-ES"/>
              </w:rPr>
              <w:t xml:space="preserve"> </w:t>
            </w:r>
            <w:r w:rsidR="00495451">
              <w:rPr>
                <w:rFonts w:hint="eastAsia"/>
                <w:lang w:val="es-ES"/>
              </w:rPr>
              <w:t>Zhanjiang,</w:t>
            </w:r>
            <w:r>
              <w:rPr>
                <w:rFonts w:hint="eastAsia"/>
                <w:lang w:val="es-ES"/>
              </w:rPr>
              <w:t xml:space="preserve"> </w:t>
            </w:r>
            <w:r w:rsidR="00495451">
              <w:rPr>
                <w:rFonts w:hint="eastAsia"/>
                <w:lang w:val="es-ES"/>
              </w:rPr>
              <w:t>Shenzhen</w:t>
            </w:r>
            <w:r>
              <w:rPr>
                <w:rFonts w:hint="eastAsia"/>
                <w:lang w:val="es-ES"/>
              </w:rPr>
              <w:t xml:space="preserve"> de </w:t>
            </w:r>
            <w:r w:rsidRPr="00495451">
              <w:rPr>
                <w:rFonts w:hint="eastAsia"/>
                <w:lang w:val="es-ES"/>
              </w:rPr>
              <w:t>l</w:t>
            </w:r>
            <w:r>
              <w:rPr>
                <w:lang w:val="es-ES"/>
              </w:rPr>
              <w:t xml:space="preserve">a provincia </w:t>
            </w:r>
            <w:r w:rsidR="00495451">
              <w:rPr>
                <w:rFonts w:hint="eastAsia"/>
                <w:lang w:val="es-ES"/>
              </w:rPr>
              <w:t>Guangdong</w:t>
            </w:r>
            <w:r>
              <w:rPr>
                <w:lang w:val="es-ES"/>
              </w:rPr>
              <w:t>: 19</w:t>
            </w:r>
            <w:r>
              <w:rPr>
                <w:rFonts w:ascii="SimSun" w:hAnsi="SimSun"/>
                <w:lang w:val="es-ES"/>
              </w:rPr>
              <w:t>℃</w:t>
            </w:r>
            <w:r>
              <w:rPr>
                <w:lang w:val="es-ES"/>
              </w:rPr>
              <w:t>-3</w:t>
            </w:r>
            <w:r w:rsidR="00495451">
              <w:rPr>
                <w:rFonts w:hint="eastAsia"/>
                <w:lang w:val="es-ES"/>
              </w:rPr>
              <w:t>6</w:t>
            </w:r>
            <w:r>
              <w:rPr>
                <w:rFonts w:ascii="SimSun" w:hAnsi="SimSun"/>
                <w:lang w:val="es-ES"/>
              </w:rPr>
              <w:t>℃</w:t>
            </w:r>
          </w:p>
          <w:p w:rsidR="00866E49" w:rsidRDefault="00105C0D">
            <w:pPr>
              <w:spacing w:line="300" w:lineRule="exact"/>
              <w:rPr>
                <w:lang w:val="es-ES"/>
              </w:rPr>
            </w:pPr>
            <w:r>
              <w:rPr>
                <w:lang w:val="es-ES"/>
              </w:rPr>
              <w:t xml:space="preserve"> La ciudad</w:t>
            </w:r>
            <w:r w:rsidRPr="00495451">
              <w:rPr>
                <w:rFonts w:hint="eastAsia"/>
                <w:lang w:val="es-ES"/>
              </w:rPr>
              <w:t xml:space="preserve"> </w:t>
            </w:r>
            <w:r>
              <w:rPr>
                <w:rFonts w:hint="eastAsia"/>
                <w:lang w:val="es-ES"/>
              </w:rPr>
              <w:t>Haikou</w:t>
            </w:r>
            <w:r>
              <w:rPr>
                <w:lang w:val="es-ES"/>
              </w:rPr>
              <w:t xml:space="preserve">, </w:t>
            </w:r>
            <w:r>
              <w:rPr>
                <w:rFonts w:hint="eastAsia"/>
                <w:lang w:val="es-ES"/>
              </w:rPr>
              <w:t>Danzhou</w:t>
            </w:r>
            <w:r>
              <w:rPr>
                <w:lang w:val="es-ES"/>
              </w:rPr>
              <w:t xml:space="preserve">, </w:t>
            </w:r>
            <w:r>
              <w:rPr>
                <w:rFonts w:hint="eastAsia"/>
                <w:lang w:val="es-ES"/>
              </w:rPr>
              <w:t>Wanning</w:t>
            </w:r>
            <w:r>
              <w:rPr>
                <w:lang w:val="es-ES"/>
              </w:rPr>
              <w:t xml:space="preserve">, </w:t>
            </w:r>
            <w:r>
              <w:rPr>
                <w:rFonts w:hint="eastAsia"/>
                <w:lang w:val="es-ES"/>
              </w:rPr>
              <w:t>Lingshui</w:t>
            </w:r>
            <w:r w:rsidRPr="00495451">
              <w:rPr>
                <w:rFonts w:hint="eastAsia"/>
                <w:lang w:val="es-ES"/>
              </w:rPr>
              <w:t>,</w:t>
            </w:r>
            <w:r>
              <w:rPr>
                <w:rFonts w:hint="eastAsia"/>
                <w:lang w:val="es-ES"/>
              </w:rPr>
              <w:t xml:space="preserve"> Chengmai</w:t>
            </w:r>
            <w:r>
              <w:rPr>
                <w:lang w:val="es-ES"/>
              </w:rPr>
              <w:t xml:space="preserve"> de</w:t>
            </w:r>
            <w:r w:rsidRPr="00495451">
              <w:rPr>
                <w:rFonts w:hint="eastAsia"/>
                <w:lang w:val="es-ES"/>
              </w:rPr>
              <w:t xml:space="preserve"> l</w:t>
            </w:r>
            <w:r>
              <w:rPr>
                <w:lang w:val="es-ES"/>
              </w:rPr>
              <w:t>a provincia H</w:t>
            </w:r>
            <w:r>
              <w:rPr>
                <w:rFonts w:hint="eastAsia"/>
                <w:lang w:val="es-ES"/>
              </w:rPr>
              <w:t>ainan</w:t>
            </w:r>
            <w:r>
              <w:rPr>
                <w:lang w:val="es-ES"/>
              </w:rPr>
              <w:t>: 19</w:t>
            </w:r>
            <w:r>
              <w:rPr>
                <w:rFonts w:ascii="SimSun" w:hAnsi="SimSun"/>
                <w:lang w:val="es-ES"/>
              </w:rPr>
              <w:t>℃</w:t>
            </w:r>
            <w:r>
              <w:rPr>
                <w:lang w:val="es-ES"/>
              </w:rPr>
              <w:t>-3</w:t>
            </w:r>
            <w:r w:rsidRPr="00495451">
              <w:rPr>
                <w:rFonts w:hint="eastAsia"/>
                <w:lang w:val="es-ES"/>
              </w:rPr>
              <w:t>6</w:t>
            </w:r>
            <w:r>
              <w:rPr>
                <w:rFonts w:ascii="SimSun" w:hAnsi="SimSun"/>
                <w:lang w:val="es-ES"/>
              </w:rPr>
              <w:t>℃</w:t>
            </w:r>
          </w:p>
        </w:tc>
      </w:tr>
      <w:tr w:rsidR="00866E49" w:rsidRPr="00CE28D5">
        <w:trPr>
          <w:cantSplit/>
          <w:trHeight w:hRule="exact" w:val="1846"/>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Observación</w:t>
            </w:r>
          </w:p>
        </w:tc>
        <w:tc>
          <w:tcPr>
            <w:tcW w:w="7297" w:type="dxa"/>
            <w:gridSpan w:val="6"/>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280" w:lineRule="exact"/>
              <w:rPr>
                <w:lang w:val="es-ES"/>
              </w:rPr>
            </w:pPr>
            <w:r>
              <w:rPr>
                <w:lang w:val="es-ES"/>
              </w:rPr>
              <w:t xml:space="preserve">Los participantes del seminario deben preparar un informe del país, que incluye: la planificación de la agricultura de su país, condiciones de desarrollo, problemas existentes, cooperaciones con el gobierno chino o empresas chinas y las necesidades futuras, así como las políticas, leyes y medidas aplicadas de su propio país para </w:t>
            </w:r>
            <w:r>
              <w:rPr>
                <w:rFonts w:hint="eastAsia"/>
                <w:lang w:val="pt-PT"/>
              </w:rPr>
              <w:t>realizar</w:t>
            </w:r>
            <w:r>
              <w:rPr>
                <w:lang w:val="es-ES"/>
              </w:rPr>
              <w:t xml:space="preserve"> la cooperación.</w:t>
            </w:r>
          </w:p>
        </w:tc>
      </w:tr>
      <w:tr w:rsidR="00866E49">
        <w:trPr>
          <w:cantSplit/>
          <w:trHeight w:hRule="exact" w:val="397"/>
          <w:jc w:val="center"/>
        </w:trPr>
        <w:tc>
          <w:tcPr>
            <w:tcW w:w="1649" w:type="dxa"/>
            <w:vMerge w:val="restart"/>
            <w:tcBorders>
              <w:top w:val="single" w:sz="4" w:space="0" w:color="auto"/>
              <w:left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Forma de contacto con el organizador</w:t>
            </w: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Persona de contacto</w:t>
            </w:r>
          </w:p>
        </w:tc>
        <w:tc>
          <w:tcPr>
            <w:tcW w:w="4066" w:type="dxa"/>
            <w:gridSpan w:val="4"/>
            <w:tcBorders>
              <w:top w:val="single" w:sz="4" w:space="0" w:color="auto"/>
              <w:left w:val="single" w:sz="4" w:space="0" w:color="auto"/>
              <w:bottom w:val="single" w:sz="4" w:space="0" w:color="auto"/>
              <w:right w:val="single" w:sz="4" w:space="0" w:color="auto"/>
            </w:tcBorders>
          </w:tcPr>
          <w:p w:rsidR="00866E49" w:rsidRDefault="00105C0D">
            <w:pPr>
              <w:spacing w:before="100" w:beforeAutospacing="1" w:after="100" w:afterAutospacing="1" w:line="420" w:lineRule="exact"/>
              <w:jc w:val="center"/>
              <w:rPr>
                <w:lang w:val="es-ES"/>
              </w:rPr>
            </w:pPr>
            <w:r>
              <w:rPr>
                <w:lang w:val="es-ES"/>
              </w:rPr>
              <w:t>Sr.Luo Xiang</w:t>
            </w:r>
            <w:r>
              <w:rPr>
                <w:rFonts w:hint="eastAsia"/>
                <w:lang w:val="es-ES"/>
              </w:rPr>
              <w:t xml:space="preserve">; </w:t>
            </w:r>
            <w:r>
              <w:rPr>
                <w:lang w:val="es-ES"/>
              </w:rPr>
              <w:t>Sr. Wang Liqing</w:t>
            </w:r>
          </w:p>
        </w:tc>
      </w:tr>
      <w:tr w:rsidR="00866E49">
        <w:trPr>
          <w:cantSplit/>
          <w:trHeight w:hRule="exact" w:val="1136"/>
          <w:jc w:val="center"/>
        </w:trPr>
        <w:tc>
          <w:tcPr>
            <w:tcW w:w="1649" w:type="dxa"/>
            <w:vMerge/>
            <w:tcBorders>
              <w:left w:val="single" w:sz="4" w:space="0" w:color="auto"/>
              <w:right w:val="single" w:sz="4" w:space="0" w:color="auto"/>
            </w:tcBorders>
            <w:vAlign w:val="center"/>
          </w:tcPr>
          <w:p w:rsidR="00866E49" w:rsidRDefault="00866E49">
            <w:pPr>
              <w:spacing w:before="100" w:beforeAutospacing="1" w:after="100" w:afterAutospacing="1" w:line="420" w:lineRule="exact"/>
              <w:jc w:val="center"/>
              <w:rPr>
                <w:lang w:val="es-ES"/>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Teléfono de la oficina</w:t>
            </w:r>
          </w:p>
        </w:tc>
        <w:tc>
          <w:tcPr>
            <w:tcW w:w="4066" w:type="dxa"/>
            <w:gridSpan w:val="4"/>
            <w:tcBorders>
              <w:top w:val="single" w:sz="4" w:space="0" w:color="auto"/>
              <w:left w:val="single" w:sz="4" w:space="0" w:color="auto"/>
              <w:bottom w:val="single" w:sz="4" w:space="0" w:color="auto"/>
              <w:right w:val="single" w:sz="4" w:space="0" w:color="auto"/>
            </w:tcBorders>
          </w:tcPr>
          <w:p w:rsidR="00866E49" w:rsidRDefault="00105C0D">
            <w:pPr>
              <w:spacing w:before="100" w:beforeAutospacing="1" w:after="100" w:afterAutospacing="1" w:line="420" w:lineRule="exact"/>
              <w:jc w:val="center"/>
              <w:rPr>
                <w:color w:val="000000" w:themeColor="text1"/>
              </w:rPr>
            </w:pPr>
            <w:r>
              <w:rPr>
                <w:rFonts w:hint="eastAsia"/>
                <w:color w:val="000000" w:themeColor="text1"/>
              </w:rPr>
              <w:t>0086-10-59194806 Luo</w:t>
            </w:r>
          </w:p>
          <w:p w:rsidR="00866E49" w:rsidRDefault="00105C0D">
            <w:pPr>
              <w:spacing w:before="100" w:beforeAutospacing="1" w:after="100" w:afterAutospacing="1" w:line="420" w:lineRule="exact"/>
              <w:jc w:val="center"/>
              <w:rPr>
                <w:lang w:val="es-ES"/>
              </w:rPr>
            </w:pPr>
            <w:r>
              <w:rPr>
                <w:color w:val="000000" w:themeColor="text1"/>
              </w:rPr>
              <w:t>0086-10-5919</w:t>
            </w:r>
            <w:r>
              <w:rPr>
                <w:rFonts w:hint="eastAsia"/>
                <w:color w:val="000000" w:themeColor="text1"/>
              </w:rPr>
              <w:t>4805</w:t>
            </w:r>
            <w:r>
              <w:rPr>
                <w:color w:val="000000" w:themeColor="text1"/>
                <w:lang w:val="es-ES"/>
              </w:rPr>
              <w:t xml:space="preserve"> </w:t>
            </w:r>
            <w:r>
              <w:rPr>
                <w:rFonts w:hAnsi="SimSun"/>
                <w:color w:val="000000" w:themeColor="text1"/>
                <w:lang w:val="es-ES"/>
              </w:rPr>
              <w:t>Wang</w:t>
            </w:r>
          </w:p>
        </w:tc>
      </w:tr>
      <w:tr w:rsidR="00866E49">
        <w:trPr>
          <w:cantSplit/>
          <w:trHeight w:hRule="exact" w:val="1266"/>
          <w:jc w:val="center"/>
        </w:trPr>
        <w:tc>
          <w:tcPr>
            <w:tcW w:w="1649" w:type="dxa"/>
            <w:vMerge/>
            <w:tcBorders>
              <w:left w:val="single" w:sz="4" w:space="0" w:color="auto"/>
              <w:right w:val="single" w:sz="4" w:space="0" w:color="auto"/>
            </w:tcBorders>
            <w:vAlign w:val="center"/>
          </w:tcPr>
          <w:p w:rsidR="00866E49" w:rsidRDefault="00866E49">
            <w:pPr>
              <w:spacing w:before="100" w:beforeAutospacing="1" w:after="100" w:afterAutospacing="1" w:line="420" w:lineRule="exact"/>
              <w:jc w:val="center"/>
              <w:rPr>
                <w:lang w:val="es-ES"/>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Móvil</w:t>
            </w:r>
          </w:p>
        </w:tc>
        <w:tc>
          <w:tcPr>
            <w:tcW w:w="4066" w:type="dxa"/>
            <w:gridSpan w:val="4"/>
            <w:tcBorders>
              <w:top w:val="single" w:sz="4" w:space="0" w:color="auto"/>
              <w:left w:val="single" w:sz="4" w:space="0" w:color="auto"/>
              <w:bottom w:val="single" w:sz="4" w:space="0" w:color="auto"/>
              <w:right w:val="single" w:sz="4" w:space="0" w:color="auto"/>
            </w:tcBorders>
          </w:tcPr>
          <w:p w:rsidR="00866E49" w:rsidRDefault="00105C0D">
            <w:pPr>
              <w:spacing w:before="100" w:beforeAutospacing="1" w:after="100" w:afterAutospacing="1" w:line="420" w:lineRule="exact"/>
              <w:jc w:val="center"/>
              <w:rPr>
                <w:color w:val="000000" w:themeColor="text1"/>
                <w:szCs w:val="21"/>
                <w:lang w:val="es-ES"/>
              </w:rPr>
            </w:pPr>
            <w:r>
              <w:rPr>
                <w:color w:val="000000" w:themeColor="text1"/>
                <w:szCs w:val="21"/>
              </w:rPr>
              <w:t>0086-</w:t>
            </w:r>
            <w:r>
              <w:rPr>
                <w:rFonts w:hint="eastAsia"/>
                <w:color w:val="000000" w:themeColor="text1"/>
                <w:szCs w:val="21"/>
              </w:rPr>
              <w:t>18610485257</w:t>
            </w:r>
            <w:r>
              <w:rPr>
                <w:color w:val="000000" w:themeColor="text1"/>
                <w:szCs w:val="21"/>
                <w:lang w:val="es-ES"/>
              </w:rPr>
              <w:t xml:space="preserve"> Luo</w:t>
            </w:r>
          </w:p>
          <w:p w:rsidR="00866E49" w:rsidRDefault="00105C0D">
            <w:pPr>
              <w:spacing w:before="100" w:beforeAutospacing="1" w:after="100" w:afterAutospacing="1" w:line="420" w:lineRule="exact"/>
              <w:jc w:val="center"/>
              <w:rPr>
                <w:color w:val="000000" w:themeColor="text1"/>
                <w:lang w:val="es-ES"/>
              </w:rPr>
            </w:pPr>
            <w:r>
              <w:rPr>
                <w:color w:val="000000" w:themeColor="text1"/>
                <w:szCs w:val="21"/>
              </w:rPr>
              <w:t>0086-</w:t>
            </w:r>
            <w:r>
              <w:rPr>
                <w:rFonts w:hint="eastAsia"/>
                <w:color w:val="000000" w:themeColor="text1"/>
              </w:rPr>
              <w:t>13911060987</w:t>
            </w:r>
            <w:r>
              <w:rPr>
                <w:color w:val="000000" w:themeColor="text1"/>
                <w:lang w:val="es-ES"/>
              </w:rPr>
              <w:t xml:space="preserve"> Wang</w:t>
            </w:r>
          </w:p>
          <w:p w:rsidR="00866E49" w:rsidRDefault="00866E49">
            <w:pPr>
              <w:spacing w:before="100" w:beforeAutospacing="1" w:after="100" w:afterAutospacing="1" w:line="420" w:lineRule="exact"/>
              <w:jc w:val="center"/>
              <w:rPr>
                <w:color w:val="000000" w:themeColor="text1"/>
                <w:lang w:val="es-ES"/>
              </w:rPr>
            </w:pPr>
          </w:p>
          <w:p w:rsidR="00866E49" w:rsidRDefault="00866E49">
            <w:pPr>
              <w:spacing w:before="100" w:beforeAutospacing="1" w:after="100" w:afterAutospacing="1" w:line="420" w:lineRule="exact"/>
              <w:jc w:val="center"/>
              <w:rPr>
                <w:color w:val="000000" w:themeColor="text1"/>
                <w:lang w:val="es-ES"/>
              </w:rPr>
            </w:pPr>
          </w:p>
        </w:tc>
      </w:tr>
      <w:tr w:rsidR="00866E49">
        <w:trPr>
          <w:cantSplit/>
          <w:trHeight w:hRule="exact" w:val="572"/>
          <w:jc w:val="center"/>
        </w:trPr>
        <w:tc>
          <w:tcPr>
            <w:tcW w:w="1649" w:type="dxa"/>
            <w:vMerge/>
            <w:tcBorders>
              <w:left w:val="single" w:sz="4" w:space="0" w:color="auto"/>
              <w:right w:val="single" w:sz="4" w:space="0" w:color="auto"/>
            </w:tcBorders>
            <w:vAlign w:val="center"/>
          </w:tcPr>
          <w:p w:rsidR="00866E49" w:rsidRDefault="00866E49">
            <w:pPr>
              <w:spacing w:before="100" w:beforeAutospacing="1" w:after="100" w:afterAutospacing="1" w:line="420" w:lineRule="exact"/>
              <w:jc w:val="center"/>
              <w:rPr>
                <w:lang w:val="es-ES"/>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Fax</w:t>
            </w:r>
          </w:p>
        </w:tc>
        <w:tc>
          <w:tcPr>
            <w:tcW w:w="4066" w:type="dxa"/>
            <w:gridSpan w:val="4"/>
            <w:tcBorders>
              <w:top w:val="single" w:sz="4" w:space="0" w:color="auto"/>
              <w:left w:val="single" w:sz="4" w:space="0" w:color="auto"/>
              <w:bottom w:val="single" w:sz="4" w:space="0" w:color="auto"/>
              <w:right w:val="single" w:sz="4" w:space="0" w:color="auto"/>
            </w:tcBorders>
          </w:tcPr>
          <w:p w:rsidR="00866E49" w:rsidRDefault="00105C0D">
            <w:pPr>
              <w:spacing w:before="100" w:beforeAutospacing="1" w:after="100" w:afterAutospacing="1" w:line="420" w:lineRule="exact"/>
              <w:jc w:val="center"/>
              <w:rPr>
                <w:lang w:val="es-ES"/>
              </w:rPr>
            </w:pPr>
            <w:r>
              <w:rPr>
                <w:lang w:val="es-ES"/>
              </w:rPr>
              <w:t>0086-</w:t>
            </w:r>
            <w:r>
              <w:t>10-59194573</w:t>
            </w:r>
          </w:p>
        </w:tc>
      </w:tr>
      <w:tr w:rsidR="00866E49">
        <w:trPr>
          <w:cantSplit/>
          <w:trHeight w:hRule="exact" w:val="397"/>
          <w:jc w:val="center"/>
        </w:trPr>
        <w:tc>
          <w:tcPr>
            <w:tcW w:w="1649" w:type="dxa"/>
            <w:vMerge/>
            <w:tcBorders>
              <w:left w:val="single" w:sz="4" w:space="0" w:color="auto"/>
              <w:bottom w:val="single" w:sz="4" w:space="0" w:color="auto"/>
              <w:right w:val="single" w:sz="4" w:space="0" w:color="auto"/>
            </w:tcBorders>
            <w:vAlign w:val="center"/>
          </w:tcPr>
          <w:p w:rsidR="00866E49" w:rsidRDefault="00866E49">
            <w:pPr>
              <w:spacing w:before="100" w:beforeAutospacing="1" w:after="100" w:afterAutospacing="1" w:line="420" w:lineRule="exact"/>
              <w:jc w:val="center"/>
              <w:rPr>
                <w:lang w:val="es-ES"/>
              </w:rPr>
            </w:pPr>
          </w:p>
        </w:tc>
        <w:tc>
          <w:tcPr>
            <w:tcW w:w="3231" w:type="dxa"/>
            <w:gridSpan w:val="2"/>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afterAutospacing="1" w:line="420" w:lineRule="exact"/>
              <w:jc w:val="center"/>
              <w:rPr>
                <w:lang w:val="es-ES"/>
              </w:rPr>
            </w:pPr>
            <w:r>
              <w:rPr>
                <w:lang w:val="es-ES"/>
              </w:rPr>
              <w:t>E-mail</w:t>
            </w:r>
          </w:p>
        </w:tc>
        <w:tc>
          <w:tcPr>
            <w:tcW w:w="4066" w:type="dxa"/>
            <w:gridSpan w:val="4"/>
            <w:tcBorders>
              <w:top w:val="single" w:sz="4" w:space="0" w:color="auto"/>
              <w:left w:val="single" w:sz="4" w:space="0" w:color="auto"/>
              <w:bottom w:val="single" w:sz="4" w:space="0" w:color="auto"/>
              <w:right w:val="single" w:sz="4" w:space="0" w:color="auto"/>
            </w:tcBorders>
            <w:vAlign w:val="center"/>
          </w:tcPr>
          <w:p w:rsidR="00866E49" w:rsidRDefault="007810B4">
            <w:pPr>
              <w:spacing w:before="100" w:beforeAutospacing="1" w:after="100" w:afterAutospacing="1" w:line="420" w:lineRule="exact"/>
              <w:jc w:val="center"/>
              <w:rPr>
                <w:lang w:val="es-ES"/>
              </w:rPr>
            </w:pPr>
            <w:hyperlink r:id="rId7" w:history="1">
              <w:r w:rsidR="00105C0D">
                <w:rPr>
                  <w:lang w:val="es-ES"/>
                </w:rPr>
                <w:t>training-moa@163.com</w:t>
              </w:r>
            </w:hyperlink>
          </w:p>
        </w:tc>
      </w:tr>
      <w:tr w:rsidR="00866E49" w:rsidRPr="00CE28D5">
        <w:trPr>
          <w:cantSplit/>
          <w:trHeight w:hRule="exact" w:val="13048"/>
          <w:jc w:val="center"/>
        </w:trPr>
        <w:tc>
          <w:tcPr>
            <w:tcW w:w="1649" w:type="dxa"/>
            <w:tcBorders>
              <w:top w:val="single" w:sz="4" w:space="0" w:color="auto"/>
              <w:left w:val="single" w:sz="4" w:space="0" w:color="auto"/>
              <w:bottom w:val="single" w:sz="4" w:space="0" w:color="auto"/>
              <w:right w:val="single" w:sz="4" w:space="0" w:color="auto"/>
            </w:tcBorders>
            <w:vAlign w:val="center"/>
          </w:tcPr>
          <w:p w:rsidR="00866E49" w:rsidRDefault="00105C0D">
            <w:pPr>
              <w:spacing w:before="100" w:beforeAutospacing="1" w:after="100" w:line="420" w:lineRule="exact"/>
              <w:jc w:val="center"/>
              <w:rPr>
                <w:lang w:val="es-ES"/>
              </w:rPr>
            </w:pPr>
            <w:r>
              <w:rPr>
                <w:lang w:val="es-ES"/>
              </w:rPr>
              <w:lastRenderedPageBreak/>
              <w:t>Presentación del organizador</w:t>
            </w:r>
          </w:p>
        </w:tc>
        <w:tc>
          <w:tcPr>
            <w:tcW w:w="7297" w:type="dxa"/>
            <w:gridSpan w:val="6"/>
            <w:tcBorders>
              <w:top w:val="single" w:sz="4" w:space="0" w:color="auto"/>
              <w:left w:val="single" w:sz="4" w:space="0" w:color="auto"/>
              <w:bottom w:val="single" w:sz="4" w:space="0" w:color="auto"/>
              <w:right w:val="single" w:sz="4" w:space="0" w:color="auto"/>
            </w:tcBorders>
            <w:vAlign w:val="center"/>
          </w:tcPr>
          <w:p w:rsidR="00866E49" w:rsidRDefault="00105C0D">
            <w:pPr>
              <w:spacing w:after="100" w:line="300" w:lineRule="exact"/>
              <w:rPr>
                <w:szCs w:val="21"/>
                <w:lang w:val="es-ES"/>
              </w:rPr>
            </w:pPr>
            <w:r>
              <w:rPr>
                <w:szCs w:val="21"/>
                <w:lang w:val="es-ES"/>
              </w:rPr>
              <w:t>Fundado en 1984, el Centro de Cooperación Económica Exterior (Centro de Tecnología Agrícola de China-UE, en adelante denominado FECC) es una institución afiliada al gobierno de nivel de director general en cooperación económica agrícola bajo el Ministerio de Agricultura y es responsable de la gestón e implementación de proyectos de agricultura de utilización de financiación extranjera, proyectos de ayuda externa y proyectos bilaterales y multilaterales de cooperación económica y tecnológica en agricultura. Como una institución importante para promover la cooperación económica de la agricultura con el exterior, FECC ha desarrollado un excelente equipo de gestión en términos de planificación de la política agrícola, gestión de proyectos, recursos humanos, alivio de la pobreza rural y el desarrollo etc., convirtiéndose ahora en un recurso importante en servicio y desarrollo de la agricultura moderna de China gracias a sus ventajas reconocidas en la tecnología profesional. En 2014, la FECC fue certificada como Centro de Investigación, Capacitación y Referencia de Cooperación Sur-Sur. En 2015, se estableció el Centro de Agricultura Sino-Alemán (Beijing) en FECC y se asignó a FECC como la institución china de implementación del Centro de Agricultura Sino-Alemán.</w:t>
            </w:r>
          </w:p>
          <w:p w:rsidR="00866E49" w:rsidRDefault="00105C0D">
            <w:pPr>
              <w:spacing w:after="100" w:line="300" w:lineRule="exact"/>
              <w:rPr>
                <w:szCs w:val="21"/>
                <w:lang w:val="es-ES"/>
              </w:rPr>
            </w:pPr>
            <w:r>
              <w:rPr>
                <w:szCs w:val="21"/>
                <w:lang w:val="es-ES"/>
              </w:rPr>
              <w:t>FECC tiene ricas experiencias y capacidades en la investigación agrícola. Los empleados con el título de postgrado y el más alto ocupan más del 50%, entre ellos, 25 doctores y 2 postdoctorales. Muchos empleados tienen títulos profesionales como economista sénior, ingeniero sénior, ingeniero de ganado sénior y agrónomo superior. La investigación y estudio de FECC ha cubierto un campo amplio como la planificación de la política agrícola, la economía agrícola, la plantación, la ganadería, la acuicultura, así como las semillas y forraje. Además FECC posee el certificado de consultoría de nivel más alto de ingeniería otorgado por el Estado (Cualificación de consultoría de ingeniería de Nivel A). En los últimos años, FECC ha emprendido la labor de preparación de 10 planes de desarrollo nacional de la agricultura y más de 20 planes de desarrollo agrícola a nivel provincial. Además, FECC ha realizado activamente estudios y ha proporcionado referencias para el establecimiento de políticas relacionadas de la cooperación agrícola con el exterior.</w:t>
            </w:r>
          </w:p>
          <w:p w:rsidR="00866E49" w:rsidRDefault="00105C0D">
            <w:pPr>
              <w:spacing w:after="100" w:line="300" w:lineRule="exact"/>
              <w:rPr>
                <w:szCs w:val="21"/>
                <w:lang w:val="es-ES"/>
              </w:rPr>
            </w:pPr>
            <w:r>
              <w:rPr>
                <w:szCs w:val="21"/>
                <w:lang w:val="es-ES"/>
              </w:rPr>
              <w:t>FECC es uno de los organizadores más importantes en la realización de los proyectos de formación en ayuda exterior del Ministerio de Comercio. Desde 2002, la División de Formación de FECC ha ejecutado 142 cursos de formación en ayuda exterior, ha capacitado a más de 4.059 personas de profesión administrativa y técnica de más de 80 países y regiones. Los proyectos de formación han ganado el reconocimiento de los estudiantes debido a la rica experiencia, cursos específicos, equipo profesional de gestión e instalaciones completas.</w:t>
            </w:r>
          </w:p>
        </w:tc>
      </w:tr>
      <w:tr w:rsidR="00866E49" w:rsidRPr="00CE28D5">
        <w:trPr>
          <w:cantSplit/>
          <w:trHeight w:val="9626"/>
          <w:jc w:val="center"/>
        </w:trPr>
        <w:tc>
          <w:tcPr>
            <w:tcW w:w="1649" w:type="dxa"/>
            <w:tcBorders>
              <w:top w:val="single" w:sz="4" w:space="0" w:color="auto"/>
              <w:left w:val="single" w:sz="4" w:space="0" w:color="auto"/>
              <w:right w:val="single" w:sz="4" w:space="0" w:color="auto"/>
            </w:tcBorders>
            <w:vAlign w:val="center"/>
          </w:tcPr>
          <w:p w:rsidR="00866E49" w:rsidRDefault="00105C0D">
            <w:pPr>
              <w:spacing w:before="100" w:beforeAutospacing="1" w:after="100" w:line="420" w:lineRule="exact"/>
              <w:jc w:val="center"/>
              <w:rPr>
                <w:szCs w:val="21"/>
                <w:lang w:val="es-ES"/>
              </w:rPr>
            </w:pPr>
            <w:r>
              <w:rPr>
                <w:szCs w:val="21"/>
                <w:lang w:val="es-ES"/>
              </w:rPr>
              <w:lastRenderedPageBreak/>
              <w:t>Presentación del contenido del seminario</w:t>
            </w:r>
          </w:p>
        </w:tc>
        <w:tc>
          <w:tcPr>
            <w:tcW w:w="7297" w:type="dxa"/>
            <w:gridSpan w:val="6"/>
            <w:tcBorders>
              <w:left w:val="single" w:sz="4" w:space="0" w:color="auto"/>
              <w:right w:val="single" w:sz="4" w:space="0" w:color="auto"/>
            </w:tcBorders>
            <w:vAlign w:val="center"/>
          </w:tcPr>
          <w:p w:rsidR="00866E49" w:rsidRDefault="00105C0D">
            <w:pPr>
              <w:spacing w:after="100" w:line="300" w:lineRule="exact"/>
              <w:rPr>
                <w:szCs w:val="21"/>
                <w:lang w:val="es-ES"/>
              </w:rPr>
            </w:pPr>
            <w:r>
              <w:rPr>
                <w:lang w:val="es-ES"/>
              </w:rPr>
              <w:t>De acuerdo con el tema de la tecnología de la agricultura de este seminario, considerando las demandas de Colombia, este curso que nos encarga el Ministerio de Comercio tendrá cuatro módulos de enseñanza:</w:t>
            </w:r>
          </w:p>
          <w:p w:rsidR="00866E49" w:rsidRDefault="00105C0D">
            <w:pPr>
              <w:spacing w:after="100" w:line="300" w:lineRule="exact"/>
              <w:rPr>
                <w:szCs w:val="21"/>
                <w:lang w:val="es-ES"/>
              </w:rPr>
            </w:pPr>
            <w:r>
              <w:rPr>
                <w:b/>
                <w:szCs w:val="21"/>
                <w:lang w:val="es-ES"/>
              </w:rPr>
              <w:t xml:space="preserve">Módulo I, Experimentación de la cultura china </w:t>
            </w:r>
            <w:r>
              <w:rPr>
                <w:szCs w:val="21"/>
                <w:lang w:val="es-ES"/>
              </w:rPr>
              <w:t xml:space="preserve">Los expertos y profesores de la Universidad de Relaciones Exteriores de China, de la Universidad de Agricultura de China, etc. serán invitados a presentar las realidades fundamentales de China e introducir la historia de la cultura agrícola de China. Los estudiantes se organizarán a visitar lugares históricos de China, experimentar la cultura agrícola y </w:t>
            </w:r>
            <w:r>
              <w:rPr>
                <w:rFonts w:hint="eastAsia"/>
                <w:szCs w:val="21"/>
                <w:lang w:val="pt-PT"/>
              </w:rPr>
              <w:t>el arte</w:t>
            </w:r>
            <w:r>
              <w:rPr>
                <w:szCs w:val="21"/>
                <w:lang w:val="es-ES"/>
              </w:rPr>
              <w:t xml:space="preserve"> tradicional de China</w:t>
            </w:r>
            <w:r>
              <w:rPr>
                <w:rFonts w:hint="eastAsia"/>
                <w:szCs w:val="21"/>
                <w:lang w:val="es-ES"/>
              </w:rPr>
              <w:t>;</w:t>
            </w:r>
          </w:p>
          <w:p w:rsidR="00866E49" w:rsidRDefault="00105C0D">
            <w:pPr>
              <w:spacing w:after="100" w:line="300" w:lineRule="exact"/>
              <w:rPr>
                <w:szCs w:val="21"/>
                <w:lang w:val="es-ES"/>
              </w:rPr>
            </w:pPr>
            <w:r>
              <w:rPr>
                <w:b/>
                <w:szCs w:val="21"/>
                <w:lang w:val="es-ES"/>
              </w:rPr>
              <w:t xml:space="preserve">Módulo II, Conferencias temáticas de las políticas y métodos aplicados </w:t>
            </w:r>
            <w:r>
              <w:rPr>
                <w:lang w:val="es-ES"/>
              </w:rPr>
              <w:t xml:space="preserve">Los expertos del Ministerio de la Agricultura (MOA), de la Academia de Ciencias Agrícolas, </w:t>
            </w:r>
            <w:r>
              <w:rPr>
                <w:rFonts w:hint="eastAsia"/>
                <w:lang w:val="pt-PT"/>
              </w:rPr>
              <w:t>d</w:t>
            </w:r>
            <w:r>
              <w:rPr>
                <w:lang w:val="es-ES"/>
              </w:rPr>
              <w:t>el centro de Extensión de la Tecnología Agrícola de China, etc. serán invitados a presentar la política aplicada, el estado actual y la perspectiva de desarrollo relacionad</w:t>
            </w:r>
            <w:r>
              <w:rPr>
                <w:rFonts w:hint="eastAsia"/>
                <w:lang w:val="pt-PT"/>
              </w:rPr>
              <w:t>o</w:t>
            </w:r>
            <w:r>
              <w:rPr>
                <w:lang w:val="es-ES"/>
              </w:rPr>
              <w:t xml:space="preserve"> a la agricultura de China</w:t>
            </w:r>
            <w:r>
              <w:rPr>
                <w:rFonts w:hint="eastAsia"/>
                <w:lang w:val="es-ES"/>
              </w:rPr>
              <w:t>;</w:t>
            </w:r>
          </w:p>
          <w:p w:rsidR="00866E49" w:rsidRDefault="00105C0D">
            <w:pPr>
              <w:spacing w:after="100" w:line="300" w:lineRule="exact"/>
              <w:rPr>
                <w:szCs w:val="21"/>
                <w:lang w:val="es-ES"/>
              </w:rPr>
            </w:pPr>
            <w:r>
              <w:rPr>
                <w:b/>
                <w:szCs w:val="21"/>
                <w:lang w:val="es-ES"/>
              </w:rPr>
              <w:t xml:space="preserve">Módulo III, Conferencias temáticas sobre la tecnología de producción agrícola. </w:t>
            </w:r>
            <w:r>
              <w:rPr>
                <w:szCs w:val="21"/>
                <w:lang w:val="es-ES"/>
              </w:rPr>
              <w:t xml:space="preserve">Los expertos de la Universidad de Agricultura de China, de la Academia de Ciencias de Agricultura </w:t>
            </w:r>
            <w:r>
              <w:rPr>
                <w:rFonts w:hint="eastAsia"/>
                <w:szCs w:val="21"/>
                <w:lang w:val="es-ES"/>
              </w:rPr>
              <w:t>tropical</w:t>
            </w:r>
            <w:r>
              <w:rPr>
                <w:szCs w:val="21"/>
                <w:lang w:val="es-ES"/>
              </w:rPr>
              <w:t xml:space="preserve"> serán invitados al curso a dar clases sobre la tecnología agrícola de la plantación de trigo, maíz, algotón, café y otras especies</w:t>
            </w:r>
            <w:r>
              <w:rPr>
                <w:rFonts w:hint="eastAsia"/>
                <w:szCs w:val="21"/>
                <w:lang w:val="es-ES"/>
              </w:rPr>
              <w:t>;</w:t>
            </w:r>
          </w:p>
          <w:p w:rsidR="00866E49" w:rsidRDefault="00105C0D" w:rsidP="00CE28D5">
            <w:pPr>
              <w:spacing w:after="100" w:line="300" w:lineRule="exact"/>
              <w:rPr>
                <w:szCs w:val="21"/>
                <w:lang w:val="es-ES"/>
              </w:rPr>
            </w:pPr>
            <w:r>
              <w:rPr>
                <w:b/>
                <w:szCs w:val="21"/>
                <w:lang w:val="es-ES"/>
              </w:rPr>
              <w:t xml:space="preserve">Módulo IV, Visitas e investigaciones temáticas. </w:t>
            </w:r>
            <w:r>
              <w:rPr>
                <w:szCs w:val="21"/>
                <w:lang w:val="es-ES"/>
              </w:rPr>
              <w:t xml:space="preserve">Se organizará las visitas para los estudiantes a provincia </w:t>
            </w:r>
            <w:r w:rsidR="00CE28D5">
              <w:rPr>
                <w:rFonts w:hint="eastAsia"/>
                <w:szCs w:val="21"/>
                <w:lang w:val="es-ES"/>
              </w:rPr>
              <w:t>Guangdong</w:t>
            </w:r>
            <w:r>
              <w:rPr>
                <w:szCs w:val="21"/>
                <w:lang w:val="es-ES"/>
              </w:rPr>
              <w:t xml:space="preserve"> </w:t>
            </w:r>
            <w:r w:rsidRPr="00495451">
              <w:rPr>
                <w:rFonts w:hint="eastAsia"/>
                <w:szCs w:val="21"/>
                <w:lang w:val="pt-PT"/>
              </w:rPr>
              <w:t xml:space="preserve">y Hainan que se distinguen en la agricultura </w:t>
            </w:r>
            <w:r>
              <w:rPr>
                <w:szCs w:val="21"/>
                <w:lang w:val="es-ES"/>
              </w:rPr>
              <w:t xml:space="preserve">a conocer </w:t>
            </w:r>
            <w:r w:rsidRPr="00495451">
              <w:rPr>
                <w:rFonts w:hint="eastAsia"/>
                <w:szCs w:val="21"/>
                <w:lang w:val="pt-PT"/>
              </w:rPr>
              <w:t>la</w:t>
            </w:r>
            <w:r>
              <w:rPr>
                <w:rFonts w:hint="eastAsia"/>
                <w:szCs w:val="21"/>
                <w:lang w:val="es-ES"/>
              </w:rPr>
              <w:t xml:space="preserve"> </w:t>
            </w:r>
            <w:r>
              <w:rPr>
                <w:szCs w:val="21"/>
                <w:lang w:val="es-ES"/>
              </w:rPr>
              <w:t xml:space="preserve">tecnología de la </w:t>
            </w:r>
            <w:r>
              <w:rPr>
                <w:rFonts w:hint="eastAsia"/>
                <w:szCs w:val="21"/>
                <w:lang w:val="es-ES"/>
              </w:rPr>
              <w:t>producci</w:t>
            </w:r>
            <w:r>
              <w:rPr>
                <w:rFonts w:hint="eastAsia"/>
                <w:szCs w:val="21"/>
                <w:lang w:val="es-ES"/>
              </w:rPr>
              <w:t>ó</w:t>
            </w:r>
            <w:r>
              <w:rPr>
                <w:rFonts w:hint="eastAsia"/>
                <w:szCs w:val="21"/>
                <w:lang w:val="es-ES"/>
              </w:rPr>
              <w:t>n de los cultivos</w:t>
            </w:r>
            <w:r>
              <w:rPr>
                <w:szCs w:val="21"/>
                <w:lang w:val="es-ES"/>
              </w:rPr>
              <w:t xml:space="preserve"> </w:t>
            </w:r>
            <w:r>
              <w:rPr>
                <w:rFonts w:hint="eastAsia"/>
                <w:szCs w:val="21"/>
                <w:lang w:val="es-ES"/>
              </w:rPr>
              <w:t>principales</w:t>
            </w:r>
            <w:r>
              <w:rPr>
                <w:szCs w:val="21"/>
                <w:lang w:val="es-ES"/>
              </w:rPr>
              <w:t>, a hacer intercambio con l</w:t>
            </w:r>
            <w:r>
              <w:rPr>
                <w:rFonts w:hint="eastAsia"/>
                <w:szCs w:val="21"/>
                <w:lang w:val="es-ES"/>
              </w:rPr>
              <w:t>as instituciones de investigaci</w:t>
            </w:r>
            <w:r>
              <w:rPr>
                <w:rFonts w:hint="eastAsia"/>
                <w:szCs w:val="21"/>
                <w:lang w:val="es-ES"/>
              </w:rPr>
              <w:t>ó</w:t>
            </w:r>
            <w:r>
              <w:rPr>
                <w:rFonts w:hint="eastAsia"/>
                <w:szCs w:val="21"/>
                <w:lang w:val="es-ES"/>
              </w:rPr>
              <w:t>n agr</w:t>
            </w:r>
            <w:r>
              <w:rPr>
                <w:rFonts w:hint="eastAsia"/>
                <w:szCs w:val="21"/>
                <w:lang w:val="es-ES"/>
              </w:rPr>
              <w:t>í</w:t>
            </w:r>
            <w:r>
              <w:rPr>
                <w:rFonts w:hint="eastAsia"/>
                <w:szCs w:val="21"/>
                <w:lang w:val="es-ES"/>
              </w:rPr>
              <w:t>cola y la empresa</w:t>
            </w:r>
            <w:r>
              <w:rPr>
                <w:szCs w:val="21"/>
                <w:lang w:val="es-ES"/>
              </w:rPr>
              <w:t xml:space="preserve"> de </w:t>
            </w:r>
            <w:r>
              <w:rPr>
                <w:rFonts w:hint="eastAsia"/>
                <w:szCs w:val="21"/>
                <w:lang w:val="es-ES"/>
              </w:rPr>
              <w:t>producci</w:t>
            </w:r>
            <w:r>
              <w:rPr>
                <w:rFonts w:hint="eastAsia"/>
                <w:szCs w:val="21"/>
                <w:lang w:val="es-ES"/>
              </w:rPr>
              <w:t>ó</w:t>
            </w:r>
            <w:r>
              <w:rPr>
                <w:rFonts w:hint="eastAsia"/>
                <w:szCs w:val="21"/>
                <w:lang w:val="es-ES"/>
              </w:rPr>
              <w:t>n</w:t>
            </w:r>
            <w:r>
              <w:rPr>
                <w:szCs w:val="21"/>
                <w:lang w:val="es-ES"/>
              </w:rPr>
              <w:t>; a conocer l</w:t>
            </w:r>
            <w:r>
              <w:rPr>
                <w:rFonts w:hint="eastAsia"/>
                <w:szCs w:val="21"/>
                <w:lang w:val="es-ES"/>
              </w:rPr>
              <w:t>a tecnolog</w:t>
            </w:r>
            <w:r>
              <w:rPr>
                <w:rFonts w:hint="eastAsia"/>
                <w:szCs w:val="21"/>
                <w:lang w:val="es-ES"/>
              </w:rPr>
              <w:t>í</w:t>
            </w:r>
            <w:r>
              <w:rPr>
                <w:rFonts w:hint="eastAsia"/>
                <w:szCs w:val="21"/>
                <w:lang w:val="es-ES"/>
              </w:rPr>
              <w:t xml:space="preserve">a de </w:t>
            </w:r>
            <w:r>
              <w:rPr>
                <w:szCs w:val="21"/>
                <w:lang w:val="es-ES"/>
              </w:rPr>
              <w:t xml:space="preserve">plantación de arroz, el uso de la maquinaria agrícola y otros técnicos agrícolas de China, a comunicar con empresas y instituciones de investigación científica locales </w:t>
            </w:r>
            <w:r>
              <w:rPr>
                <w:rFonts w:hint="eastAsia"/>
                <w:szCs w:val="21"/>
                <w:lang w:val="pt-PT"/>
              </w:rPr>
              <w:t xml:space="preserve">el tema </w:t>
            </w:r>
            <w:r>
              <w:rPr>
                <w:szCs w:val="21"/>
                <w:lang w:val="es-ES"/>
              </w:rPr>
              <w:t>sobre la cooperación.</w:t>
            </w:r>
          </w:p>
        </w:tc>
      </w:tr>
    </w:tbl>
    <w:p w:rsidR="00866E49" w:rsidRDefault="00866E49">
      <w:pPr>
        <w:rPr>
          <w:lang w:val="pt-PT"/>
        </w:rPr>
      </w:pPr>
    </w:p>
    <w:sectPr w:rsidR="00866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B4" w:rsidRDefault="007810B4" w:rsidP="00495451">
      <w:r>
        <w:separator/>
      </w:r>
    </w:p>
  </w:endnote>
  <w:endnote w:type="continuationSeparator" w:id="0">
    <w:p w:rsidR="007810B4" w:rsidRDefault="007810B4" w:rsidP="0049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B4" w:rsidRDefault="007810B4" w:rsidP="00495451">
      <w:r>
        <w:separator/>
      </w:r>
    </w:p>
  </w:footnote>
  <w:footnote w:type="continuationSeparator" w:id="0">
    <w:p w:rsidR="007810B4" w:rsidRDefault="007810B4" w:rsidP="0049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93"/>
    <w:rsid w:val="00086463"/>
    <w:rsid w:val="000F0062"/>
    <w:rsid w:val="000F0B99"/>
    <w:rsid w:val="000F3D56"/>
    <w:rsid w:val="00105C0D"/>
    <w:rsid w:val="001A1DEB"/>
    <w:rsid w:val="00243948"/>
    <w:rsid w:val="002A0DBA"/>
    <w:rsid w:val="003B20F5"/>
    <w:rsid w:val="004711A6"/>
    <w:rsid w:val="00495451"/>
    <w:rsid w:val="004B3E04"/>
    <w:rsid w:val="007810B4"/>
    <w:rsid w:val="00866E49"/>
    <w:rsid w:val="009A6395"/>
    <w:rsid w:val="00B73F02"/>
    <w:rsid w:val="00B969DD"/>
    <w:rsid w:val="00C03E69"/>
    <w:rsid w:val="00CE28D5"/>
    <w:rsid w:val="00CE2E04"/>
    <w:rsid w:val="00CF4593"/>
    <w:rsid w:val="00E12716"/>
    <w:rsid w:val="00E7048E"/>
    <w:rsid w:val="06E83DE0"/>
    <w:rsid w:val="0A2431C0"/>
    <w:rsid w:val="17BF6D83"/>
    <w:rsid w:val="1ADD3D95"/>
    <w:rsid w:val="1EFB3D13"/>
    <w:rsid w:val="2794114C"/>
    <w:rsid w:val="49BE30E5"/>
    <w:rsid w:val="4D1E097B"/>
    <w:rsid w:val="58657DB1"/>
    <w:rsid w:val="5D9F7E8A"/>
    <w:rsid w:val="7E45294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8BD6"/>
  <w15:docId w15:val="{E1C66F83-9207-4419-83AC-8CFF2A4F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SimSun" w:hAnsi="Times New Roman" w:cs="Times New Roman"/>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Encabezado">
    <w:name w:val="header"/>
    <w:basedOn w:val="Normal"/>
    <w:link w:val="EncabezadoC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EncabezadoCar">
    <w:name w:val="Encabezado Car"/>
    <w:basedOn w:val="Fuentedeprrafopredeter"/>
    <w:link w:val="Encabezado"/>
    <w:uiPriority w:val="99"/>
    <w:rPr>
      <w:sz w:val="18"/>
      <w:szCs w:val="18"/>
    </w:rPr>
  </w:style>
  <w:style w:type="character" w:customStyle="1" w:styleId="PiedepginaCar">
    <w:name w:val="Pie de página Car"/>
    <w:basedOn w:val="Fuentedeprrafopredeter"/>
    <w:link w:val="Piedepgina"/>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moa@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Maira Lisbed Galeano Fonseca</cp:lastModifiedBy>
  <cp:revision>8</cp:revision>
  <dcterms:created xsi:type="dcterms:W3CDTF">2018-07-16T22:50:00Z</dcterms:created>
  <dcterms:modified xsi:type="dcterms:W3CDTF">2018-07-17T22:32:00Z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