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CD" w:rsidRDefault="00F96C03">
      <w:pPr>
        <w:spacing w:line="520" w:lineRule="exact"/>
        <w:ind w:firstLineChars="100" w:firstLine="280"/>
        <w:jc w:val="center"/>
        <w:rPr>
          <w:sz w:val="28"/>
          <w:szCs w:val="28"/>
          <w:lang w:val="es-ES"/>
        </w:rPr>
      </w:pPr>
      <w:bookmarkStart w:id="0" w:name="OLE_LINK3"/>
      <w:bookmarkStart w:id="1" w:name="OLE_LINK1"/>
      <w:bookmarkStart w:id="2" w:name="OLE_LINK2"/>
      <w:bookmarkStart w:id="3" w:name="_GoBack"/>
      <w:bookmarkEnd w:id="3"/>
      <w:r>
        <w:rPr>
          <w:sz w:val="28"/>
          <w:szCs w:val="28"/>
          <w:lang w:val="es-ES"/>
        </w:rPr>
        <w:t>Presentación</w:t>
      </w:r>
      <w:bookmarkEnd w:id="0"/>
      <w:bookmarkEnd w:id="1"/>
      <w:bookmarkEnd w:id="2"/>
      <w:r>
        <w:rPr>
          <w:sz w:val="28"/>
          <w:szCs w:val="28"/>
          <w:lang w:val="es-ES"/>
        </w:rPr>
        <w:t xml:space="preserve"> del Seminario sobre Administración Monetaria y Bancaria de Países Latinoamericanos 2017</w:t>
      </w:r>
    </w:p>
    <w:tbl>
      <w:tblPr>
        <w:tblW w:w="99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734"/>
        <w:gridCol w:w="3302"/>
        <w:gridCol w:w="169"/>
        <w:gridCol w:w="1165"/>
        <w:gridCol w:w="2101"/>
      </w:tblGrid>
      <w:tr w:rsidR="009020CD">
        <w:trPr>
          <w:trHeight w:val="472"/>
          <w:jc w:val="center"/>
        </w:trPr>
        <w:tc>
          <w:tcPr>
            <w:tcW w:w="1511" w:type="dxa"/>
            <w:tcBorders>
              <w:top w:val="single" w:sz="8" w:space="0" w:color="auto"/>
            </w:tcBorders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Nombre</w:t>
            </w:r>
            <w:proofErr w:type="spellEnd"/>
            <w:r>
              <w:rPr>
                <w:szCs w:val="21"/>
              </w:rPr>
              <w:t xml:space="preserve"> del </w:t>
            </w:r>
            <w:proofErr w:type="spellStart"/>
            <w:r>
              <w:rPr>
                <w:szCs w:val="21"/>
              </w:rPr>
              <w:t>proyecto</w:t>
            </w:r>
            <w:proofErr w:type="spellEnd"/>
          </w:p>
        </w:tc>
        <w:tc>
          <w:tcPr>
            <w:tcW w:w="8471" w:type="dxa"/>
            <w:gridSpan w:val="5"/>
            <w:tcBorders>
              <w:top w:val="single" w:sz="8" w:space="0" w:color="auto"/>
            </w:tcBorders>
            <w:vAlign w:val="center"/>
          </w:tcPr>
          <w:p w:rsidR="009020CD" w:rsidRDefault="00F96C03">
            <w:pPr>
              <w:jc w:val="center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Seminario sobre Administración Monetaria y Bancaria de Países Latinoamericanos 2017</w:t>
            </w:r>
          </w:p>
        </w:tc>
      </w:tr>
      <w:tr w:rsidR="009020CD">
        <w:trPr>
          <w:trHeight w:val="472"/>
          <w:jc w:val="center"/>
        </w:trPr>
        <w:tc>
          <w:tcPr>
            <w:tcW w:w="1511" w:type="dxa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Organizador</w:t>
            </w:r>
            <w:proofErr w:type="spellEnd"/>
          </w:p>
        </w:tc>
        <w:tc>
          <w:tcPr>
            <w:tcW w:w="8471" w:type="dxa"/>
            <w:gridSpan w:val="5"/>
            <w:vAlign w:val="center"/>
          </w:tcPr>
          <w:p w:rsidR="009020CD" w:rsidRDefault="00F96C0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  <w:shd w:val="clear" w:color="auto" w:fill="FFFFFF"/>
              </w:rPr>
              <w:t xml:space="preserve">Escuela de </w:t>
            </w:r>
            <w:proofErr w:type="spellStart"/>
            <w:r>
              <w:rPr>
                <w:color w:val="000000" w:themeColor="text1"/>
                <w:szCs w:val="21"/>
                <w:shd w:val="clear" w:color="auto" w:fill="FFFFFF"/>
              </w:rPr>
              <w:t>Negocios</w:t>
            </w:r>
            <w:proofErr w:type="spellEnd"/>
            <w:r>
              <w:rPr>
                <w:color w:val="000000" w:themeColor="text1"/>
                <w:szCs w:val="21"/>
                <w:shd w:val="clear" w:color="auto" w:fill="FFFFFF"/>
              </w:rPr>
              <w:t xml:space="preserve"> de Shanghai (Shanghai Business School)</w:t>
            </w:r>
          </w:p>
        </w:tc>
      </w:tr>
      <w:tr w:rsidR="009020CD">
        <w:trPr>
          <w:trHeight w:val="472"/>
          <w:jc w:val="center"/>
        </w:trPr>
        <w:tc>
          <w:tcPr>
            <w:tcW w:w="1511" w:type="dxa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Fecha</w:t>
            </w:r>
            <w:proofErr w:type="spellEnd"/>
          </w:p>
        </w:tc>
        <w:tc>
          <w:tcPr>
            <w:tcW w:w="5205" w:type="dxa"/>
            <w:gridSpan w:val="3"/>
            <w:vAlign w:val="center"/>
          </w:tcPr>
          <w:p w:rsidR="009020CD" w:rsidRDefault="00F96C03">
            <w:pPr>
              <w:jc w:val="center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5 de Mayo – 25 de Mayo, 2017</w:t>
            </w:r>
          </w:p>
        </w:tc>
        <w:tc>
          <w:tcPr>
            <w:tcW w:w="1165" w:type="dxa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Idioma</w:t>
            </w:r>
            <w:proofErr w:type="spellEnd"/>
          </w:p>
        </w:tc>
        <w:tc>
          <w:tcPr>
            <w:tcW w:w="2101" w:type="dxa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Español</w:t>
            </w:r>
            <w:proofErr w:type="spellEnd"/>
          </w:p>
        </w:tc>
      </w:tr>
      <w:tr w:rsidR="009020CD">
        <w:trPr>
          <w:trHeight w:val="472"/>
          <w:jc w:val="center"/>
        </w:trPr>
        <w:tc>
          <w:tcPr>
            <w:tcW w:w="1511" w:type="dxa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Invitados</w:t>
            </w:r>
            <w:proofErr w:type="spellEnd"/>
          </w:p>
        </w:tc>
        <w:tc>
          <w:tcPr>
            <w:tcW w:w="8471" w:type="dxa"/>
            <w:gridSpan w:val="5"/>
            <w:vAlign w:val="center"/>
          </w:tcPr>
          <w:p w:rsidR="009020CD" w:rsidRDefault="00F96C03">
            <w:pPr>
              <w:jc w:val="center"/>
              <w:rPr>
                <w:szCs w:val="21"/>
                <w:lang w:val="es-ES"/>
              </w:rPr>
            </w:pPr>
            <w:bookmarkStart w:id="4" w:name="OLE_LINK6"/>
            <w:bookmarkStart w:id="5" w:name="OLE_LINK7"/>
            <w:r>
              <w:rPr>
                <w:szCs w:val="21"/>
                <w:lang w:val="es-ES"/>
              </w:rPr>
              <w:t>Oficiales gubernamentales y ejecutivos corporativos de países latinoamericanos en el ámbito de administración monetaria y bancaria</w:t>
            </w:r>
            <w:bookmarkEnd w:id="4"/>
            <w:bookmarkEnd w:id="5"/>
          </w:p>
        </w:tc>
      </w:tr>
      <w:tr w:rsidR="009020CD">
        <w:trPr>
          <w:trHeight w:val="472"/>
          <w:jc w:val="center"/>
        </w:trPr>
        <w:tc>
          <w:tcPr>
            <w:tcW w:w="1511" w:type="dxa"/>
            <w:vAlign w:val="center"/>
          </w:tcPr>
          <w:p w:rsidR="009020CD" w:rsidRDefault="00F96C03">
            <w:pPr>
              <w:jc w:val="center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Número de participantes</w:t>
            </w:r>
          </w:p>
        </w:tc>
        <w:tc>
          <w:tcPr>
            <w:tcW w:w="8471" w:type="dxa"/>
            <w:gridSpan w:val="5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bookmarkStart w:id="6" w:name="OLE_LINK5"/>
            <w:bookmarkStart w:id="7" w:name="OLE_LINK4"/>
            <w:r>
              <w:rPr>
                <w:szCs w:val="21"/>
              </w:rPr>
              <w:t>25 personas</w:t>
            </w:r>
            <w:bookmarkEnd w:id="6"/>
            <w:bookmarkEnd w:id="7"/>
          </w:p>
        </w:tc>
      </w:tr>
      <w:tr w:rsidR="009020CD">
        <w:trPr>
          <w:trHeight w:val="472"/>
          <w:jc w:val="center"/>
        </w:trPr>
        <w:tc>
          <w:tcPr>
            <w:tcW w:w="1511" w:type="dxa"/>
            <w:vMerge w:val="restart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bookmarkStart w:id="8" w:name="_Hlk477274575"/>
            <w:proofErr w:type="spellStart"/>
            <w:r>
              <w:rPr>
                <w:szCs w:val="21"/>
              </w:rPr>
              <w:t>Requisitos</w:t>
            </w:r>
            <w:proofErr w:type="spellEnd"/>
            <w:r>
              <w:rPr>
                <w:szCs w:val="21"/>
              </w:rPr>
              <w:t xml:space="preserve"> de </w:t>
            </w:r>
            <w:proofErr w:type="spellStart"/>
            <w:r>
              <w:rPr>
                <w:szCs w:val="21"/>
              </w:rPr>
              <w:t>participantes</w:t>
            </w:r>
            <w:proofErr w:type="spellEnd"/>
          </w:p>
        </w:tc>
        <w:tc>
          <w:tcPr>
            <w:tcW w:w="1734" w:type="dxa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Edad</w:t>
            </w:r>
            <w:proofErr w:type="spellEnd"/>
          </w:p>
        </w:tc>
        <w:tc>
          <w:tcPr>
            <w:tcW w:w="6737" w:type="dxa"/>
            <w:gridSpan w:val="4"/>
            <w:vAlign w:val="center"/>
          </w:tcPr>
          <w:p w:rsidR="009020CD" w:rsidRDefault="00F96C03">
            <w:pPr>
              <w:jc w:val="center"/>
              <w:rPr>
                <w:szCs w:val="21"/>
                <w:lang w:val="es-ES"/>
              </w:rPr>
            </w:pPr>
            <w:proofErr w:type="spellStart"/>
            <w:r>
              <w:t>Nivel</w:t>
            </w:r>
            <w:proofErr w:type="spellEnd"/>
            <w:r>
              <w:t xml:space="preserve"> de director, </w:t>
            </w:r>
            <w:proofErr w:type="spellStart"/>
            <w:r>
              <w:t>máximo</w:t>
            </w:r>
            <w:proofErr w:type="spellEnd"/>
            <w:r>
              <w:t xml:space="preserve"> 50 </w:t>
            </w:r>
            <w:proofErr w:type="spellStart"/>
            <w:r>
              <w:t>años</w:t>
            </w:r>
            <w:proofErr w:type="spellEnd"/>
            <w:r>
              <w:rPr>
                <w:lang w:val="es-ES"/>
              </w:rPr>
              <w:t xml:space="preserve">; </w:t>
            </w:r>
            <w:proofErr w:type="spellStart"/>
            <w:r>
              <w:t>nivel</w:t>
            </w:r>
            <w:proofErr w:type="spellEnd"/>
            <w:r>
              <w:t xml:space="preserve"> de </w:t>
            </w:r>
            <w:proofErr w:type="spellStart"/>
            <w:r>
              <w:t>división</w:t>
            </w:r>
            <w:proofErr w:type="spellEnd"/>
            <w:r>
              <w:t xml:space="preserve">, </w:t>
            </w:r>
            <w:proofErr w:type="spellStart"/>
            <w:r>
              <w:t>máximo</w:t>
            </w:r>
            <w:proofErr w:type="spellEnd"/>
            <w:r>
              <w:t xml:space="preserve"> 45 </w:t>
            </w:r>
            <w:proofErr w:type="spellStart"/>
            <w:r>
              <w:t>años</w:t>
            </w:r>
            <w:proofErr w:type="spellEnd"/>
          </w:p>
        </w:tc>
      </w:tr>
      <w:bookmarkEnd w:id="8"/>
      <w:tr w:rsidR="009020CD">
        <w:trPr>
          <w:trHeight w:val="472"/>
          <w:jc w:val="center"/>
        </w:trPr>
        <w:tc>
          <w:tcPr>
            <w:tcW w:w="1511" w:type="dxa"/>
            <w:vMerge/>
            <w:vAlign w:val="center"/>
          </w:tcPr>
          <w:p w:rsidR="009020CD" w:rsidRDefault="009020CD">
            <w:pPr>
              <w:jc w:val="center"/>
              <w:rPr>
                <w:szCs w:val="21"/>
                <w:lang w:val="es-ES"/>
              </w:rPr>
            </w:pPr>
          </w:p>
        </w:tc>
        <w:tc>
          <w:tcPr>
            <w:tcW w:w="1734" w:type="dxa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Estado de </w:t>
            </w:r>
            <w:proofErr w:type="spellStart"/>
            <w:r>
              <w:rPr>
                <w:szCs w:val="21"/>
              </w:rPr>
              <w:t>salud</w:t>
            </w:r>
            <w:proofErr w:type="spellEnd"/>
          </w:p>
        </w:tc>
        <w:tc>
          <w:tcPr>
            <w:tcW w:w="6737" w:type="dxa"/>
            <w:gridSpan w:val="4"/>
            <w:vAlign w:val="center"/>
          </w:tcPr>
          <w:p w:rsidR="009020CD" w:rsidRDefault="00F96C03">
            <w:pPr>
              <w:rPr>
                <w:szCs w:val="21"/>
                <w:lang w:val="es-ES"/>
              </w:rPr>
            </w:pPr>
            <w:bookmarkStart w:id="9" w:name="OLE_LINK10"/>
            <w:bookmarkStart w:id="10" w:name="OLE_LINK11"/>
            <w:r>
              <w:rPr>
                <w:szCs w:val="21"/>
              </w:rPr>
              <w:t xml:space="preserve">Los </w:t>
            </w:r>
            <w:proofErr w:type="spellStart"/>
            <w:r>
              <w:rPr>
                <w:szCs w:val="21"/>
              </w:rPr>
              <w:t>participantes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deben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estar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en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buena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salud</w:t>
            </w:r>
            <w:proofErr w:type="spellEnd"/>
            <w:r>
              <w:rPr>
                <w:szCs w:val="21"/>
              </w:rPr>
              <w:t xml:space="preserve"> y </w:t>
            </w:r>
            <w:proofErr w:type="spellStart"/>
            <w:r>
              <w:rPr>
                <w:szCs w:val="21"/>
              </w:rPr>
              <w:t>ofrecer</w:t>
            </w:r>
            <w:proofErr w:type="spellEnd"/>
            <w:r>
              <w:rPr>
                <w:szCs w:val="21"/>
              </w:rPr>
              <w:t xml:space="preserve"> el </w:t>
            </w:r>
            <w:proofErr w:type="spellStart"/>
            <w:r>
              <w:rPr>
                <w:szCs w:val="21"/>
              </w:rPr>
              <w:t>certificado</w:t>
            </w:r>
            <w:proofErr w:type="spellEnd"/>
            <w:r>
              <w:rPr>
                <w:szCs w:val="21"/>
              </w:rPr>
              <w:t xml:space="preserve"> de </w:t>
            </w:r>
            <w:proofErr w:type="spellStart"/>
            <w:r>
              <w:rPr>
                <w:szCs w:val="21"/>
              </w:rPr>
              <w:t>salud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emitido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por</w:t>
            </w:r>
            <w:proofErr w:type="spellEnd"/>
            <w:r>
              <w:rPr>
                <w:szCs w:val="21"/>
              </w:rPr>
              <w:t xml:space="preserve"> el hospital </w:t>
            </w:r>
            <w:proofErr w:type="spellStart"/>
            <w:r>
              <w:rPr>
                <w:szCs w:val="21"/>
              </w:rPr>
              <w:t>público</w:t>
            </w:r>
            <w:proofErr w:type="spellEnd"/>
            <w:r>
              <w:rPr>
                <w:szCs w:val="21"/>
              </w:rPr>
              <w:t xml:space="preserve"> local, sin </w:t>
            </w:r>
            <w:proofErr w:type="spellStart"/>
            <w:r>
              <w:rPr>
                <w:szCs w:val="21"/>
              </w:rPr>
              <w:t>enfermedades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prohibidas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por</w:t>
            </w:r>
            <w:proofErr w:type="spellEnd"/>
            <w:r>
              <w:rPr>
                <w:szCs w:val="21"/>
              </w:rPr>
              <w:t xml:space="preserve"> las </w:t>
            </w:r>
            <w:proofErr w:type="spellStart"/>
            <w:r>
              <w:rPr>
                <w:szCs w:val="21"/>
              </w:rPr>
              <w:t>regulaciones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chinas</w:t>
            </w:r>
            <w:proofErr w:type="spellEnd"/>
            <w:r>
              <w:rPr>
                <w:szCs w:val="21"/>
              </w:rPr>
              <w:t xml:space="preserve">, sin </w:t>
            </w:r>
            <w:proofErr w:type="spellStart"/>
            <w:r>
              <w:rPr>
                <w:szCs w:val="21"/>
              </w:rPr>
              <w:t>hipertensión</w:t>
            </w:r>
            <w:proofErr w:type="spellEnd"/>
            <w:r>
              <w:rPr>
                <w:szCs w:val="21"/>
              </w:rPr>
              <w:t xml:space="preserve">, </w:t>
            </w:r>
            <w:proofErr w:type="spellStart"/>
            <w:r>
              <w:rPr>
                <w:szCs w:val="21"/>
              </w:rPr>
              <w:t>enfermedades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cardiovasculares</w:t>
            </w:r>
            <w:proofErr w:type="spellEnd"/>
            <w:r>
              <w:rPr>
                <w:szCs w:val="21"/>
              </w:rPr>
              <w:t xml:space="preserve">, diabetes </w:t>
            </w:r>
            <w:proofErr w:type="spellStart"/>
            <w:r>
              <w:rPr>
                <w:szCs w:val="21"/>
              </w:rPr>
              <w:t>ni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otras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enfermedades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crónicas</w:t>
            </w:r>
            <w:proofErr w:type="spellEnd"/>
            <w:r>
              <w:rPr>
                <w:szCs w:val="21"/>
              </w:rPr>
              <w:t xml:space="preserve">, </w:t>
            </w:r>
            <w:proofErr w:type="spellStart"/>
            <w:r>
              <w:rPr>
                <w:szCs w:val="21"/>
              </w:rPr>
              <w:t>mentales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ni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contagiosas</w:t>
            </w:r>
            <w:proofErr w:type="spellEnd"/>
            <w:r>
              <w:rPr>
                <w:szCs w:val="21"/>
              </w:rPr>
              <w:t xml:space="preserve"> que </w:t>
            </w:r>
            <w:proofErr w:type="spellStart"/>
            <w:r>
              <w:rPr>
                <w:szCs w:val="21"/>
              </w:rPr>
              <w:t>amenacen</w:t>
            </w:r>
            <w:proofErr w:type="spellEnd"/>
            <w:r>
              <w:rPr>
                <w:szCs w:val="21"/>
              </w:rPr>
              <w:t xml:space="preserve"> la </w:t>
            </w:r>
            <w:proofErr w:type="spellStart"/>
            <w:r>
              <w:rPr>
                <w:szCs w:val="21"/>
              </w:rPr>
              <w:t>salud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pública</w:t>
            </w:r>
            <w:proofErr w:type="spellEnd"/>
            <w:r>
              <w:rPr>
                <w:szCs w:val="21"/>
              </w:rPr>
              <w:t xml:space="preserve">. No </w:t>
            </w:r>
            <w:proofErr w:type="spellStart"/>
            <w:r>
              <w:rPr>
                <w:szCs w:val="21"/>
              </w:rPr>
              <w:t>deben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estar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en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período</w:t>
            </w:r>
            <w:proofErr w:type="spellEnd"/>
            <w:r>
              <w:rPr>
                <w:szCs w:val="21"/>
              </w:rPr>
              <w:t xml:space="preserve"> de </w:t>
            </w:r>
            <w:proofErr w:type="spellStart"/>
            <w:r>
              <w:rPr>
                <w:szCs w:val="21"/>
              </w:rPr>
              <w:t>recuperación</w:t>
            </w:r>
            <w:proofErr w:type="spellEnd"/>
            <w:r>
              <w:rPr>
                <w:szCs w:val="21"/>
              </w:rPr>
              <w:t xml:space="preserve"> de </w:t>
            </w:r>
            <w:proofErr w:type="spellStart"/>
            <w:r>
              <w:rPr>
                <w:szCs w:val="21"/>
              </w:rPr>
              <w:t>operaciones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serias</w:t>
            </w:r>
            <w:proofErr w:type="spellEnd"/>
            <w:r>
              <w:rPr>
                <w:szCs w:val="21"/>
              </w:rPr>
              <w:t xml:space="preserve">, </w:t>
            </w:r>
            <w:proofErr w:type="spellStart"/>
            <w:r>
              <w:rPr>
                <w:szCs w:val="21"/>
              </w:rPr>
              <w:t>ni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en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período</w:t>
            </w:r>
            <w:proofErr w:type="spellEnd"/>
            <w:r>
              <w:rPr>
                <w:szCs w:val="21"/>
              </w:rPr>
              <w:t xml:space="preserve"> de </w:t>
            </w:r>
            <w:proofErr w:type="spellStart"/>
            <w:r>
              <w:rPr>
                <w:szCs w:val="21"/>
              </w:rPr>
              <w:t>ataque</w:t>
            </w:r>
            <w:proofErr w:type="spellEnd"/>
            <w:r>
              <w:rPr>
                <w:szCs w:val="21"/>
              </w:rPr>
              <w:t xml:space="preserve"> de </w:t>
            </w:r>
            <w:proofErr w:type="spellStart"/>
            <w:r>
              <w:rPr>
                <w:szCs w:val="21"/>
              </w:rPr>
              <w:t>enfermedad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aguda</w:t>
            </w:r>
            <w:proofErr w:type="spellEnd"/>
            <w:r>
              <w:rPr>
                <w:szCs w:val="21"/>
              </w:rPr>
              <w:t xml:space="preserve">, sin </w:t>
            </w:r>
            <w:proofErr w:type="spellStart"/>
            <w:r>
              <w:rPr>
                <w:szCs w:val="21"/>
              </w:rPr>
              <w:t>discapacidad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física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ni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estar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embarazadas</w:t>
            </w:r>
            <w:proofErr w:type="spellEnd"/>
            <w:r>
              <w:rPr>
                <w:szCs w:val="21"/>
              </w:rPr>
              <w:t>.</w:t>
            </w:r>
            <w:bookmarkEnd w:id="9"/>
            <w:bookmarkEnd w:id="10"/>
          </w:p>
        </w:tc>
      </w:tr>
      <w:tr w:rsidR="009020CD">
        <w:trPr>
          <w:trHeight w:val="472"/>
          <w:jc w:val="center"/>
        </w:trPr>
        <w:tc>
          <w:tcPr>
            <w:tcW w:w="1511" w:type="dxa"/>
            <w:vMerge/>
            <w:vAlign w:val="center"/>
          </w:tcPr>
          <w:p w:rsidR="009020CD" w:rsidRDefault="009020CD">
            <w:pPr>
              <w:jc w:val="center"/>
              <w:rPr>
                <w:szCs w:val="21"/>
                <w:lang w:val="es-ES"/>
              </w:rPr>
            </w:pPr>
          </w:p>
        </w:tc>
        <w:tc>
          <w:tcPr>
            <w:tcW w:w="1734" w:type="dxa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Idioma</w:t>
            </w:r>
            <w:proofErr w:type="spellEnd"/>
          </w:p>
        </w:tc>
        <w:tc>
          <w:tcPr>
            <w:tcW w:w="6737" w:type="dxa"/>
            <w:gridSpan w:val="4"/>
            <w:vAlign w:val="center"/>
          </w:tcPr>
          <w:p w:rsidR="009020CD" w:rsidRDefault="00F96C03">
            <w:pPr>
              <w:jc w:val="center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Capaz de escuchar, hablar, leer y escribir en español</w:t>
            </w:r>
          </w:p>
        </w:tc>
      </w:tr>
      <w:tr w:rsidR="009020CD">
        <w:trPr>
          <w:trHeight w:val="472"/>
          <w:jc w:val="center"/>
        </w:trPr>
        <w:tc>
          <w:tcPr>
            <w:tcW w:w="1511" w:type="dxa"/>
            <w:vMerge/>
            <w:vAlign w:val="center"/>
          </w:tcPr>
          <w:p w:rsidR="009020CD" w:rsidRDefault="009020CD">
            <w:pPr>
              <w:jc w:val="center"/>
              <w:rPr>
                <w:szCs w:val="21"/>
                <w:lang w:val="es-ES"/>
              </w:rPr>
            </w:pPr>
          </w:p>
        </w:tc>
        <w:tc>
          <w:tcPr>
            <w:tcW w:w="1734" w:type="dxa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Otros</w:t>
            </w:r>
            <w:proofErr w:type="spellEnd"/>
          </w:p>
        </w:tc>
        <w:tc>
          <w:tcPr>
            <w:tcW w:w="6737" w:type="dxa"/>
            <w:gridSpan w:val="4"/>
            <w:vAlign w:val="center"/>
          </w:tcPr>
          <w:p w:rsidR="009020CD" w:rsidRDefault="00F96C03">
            <w:pPr>
              <w:jc w:val="center"/>
              <w:rPr>
                <w:szCs w:val="21"/>
                <w:lang w:val="es-ES"/>
              </w:rPr>
            </w:pPr>
            <w:bookmarkStart w:id="11" w:name="OLE_LINK12"/>
            <w:bookmarkStart w:id="12" w:name="OLE_LINK13"/>
            <w:r>
              <w:rPr>
                <w:kern w:val="0"/>
                <w:szCs w:val="21"/>
                <w:lang w:val="es-ES"/>
              </w:rPr>
              <w:t>El gobierno chino no se encarga de los gastos generados por los cónyuges o parientes de los participantes.</w:t>
            </w:r>
            <w:r>
              <w:rPr>
                <w:szCs w:val="21"/>
                <w:lang w:val="es-ES"/>
              </w:rPr>
              <w:t xml:space="preserve"> </w:t>
            </w:r>
            <w:bookmarkEnd w:id="11"/>
            <w:bookmarkEnd w:id="12"/>
          </w:p>
        </w:tc>
      </w:tr>
      <w:tr w:rsidR="009020CD">
        <w:trPr>
          <w:trHeight w:val="472"/>
          <w:jc w:val="center"/>
        </w:trPr>
        <w:tc>
          <w:tcPr>
            <w:tcW w:w="1511" w:type="dxa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bookmarkStart w:id="13" w:name="OLE_LINK14"/>
            <w:bookmarkStart w:id="14" w:name="OLE_LINK15"/>
            <w:r>
              <w:rPr>
                <w:szCs w:val="21"/>
              </w:rPr>
              <w:t xml:space="preserve">Lugar del </w:t>
            </w:r>
            <w:proofErr w:type="spellStart"/>
            <w:r>
              <w:rPr>
                <w:szCs w:val="21"/>
              </w:rPr>
              <w:t>seminario</w:t>
            </w:r>
            <w:bookmarkEnd w:id="13"/>
            <w:bookmarkEnd w:id="14"/>
            <w:proofErr w:type="spellEnd"/>
          </w:p>
        </w:tc>
        <w:tc>
          <w:tcPr>
            <w:tcW w:w="1734" w:type="dxa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Shanghai</w:t>
            </w:r>
          </w:p>
        </w:tc>
        <w:tc>
          <w:tcPr>
            <w:tcW w:w="3302" w:type="dxa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Temperatura</w:t>
            </w:r>
            <w:proofErr w:type="spellEnd"/>
            <w:r>
              <w:rPr>
                <w:szCs w:val="21"/>
              </w:rPr>
              <w:t xml:space="preserve"> local</w:t>
            </w:r>
          </w:p>
        </w:tc>
        <w:tc>
          <w:tcPr>
            <w:tcW w:w="3435" w:type="dxa"/>
            <w:gridSpan w:val="3"/>
            <w:vAlign w:val="center"/>
          </w:tcPr>
          <w:p w:rsidR="009020CD" w:rsidRDefault="00F96C03">
            <w:pPr>
              <w:ind w:firstLineChars="500" w:firstLine="1050"/>
              <w:rPr>
                <w:szCs w:val="21"/>
              </w:rPr>
            </w:pPr>
            <w:r>
              <w:rPr>
                <w:szCs w:val="21"/>
              </w:rPr>
              <w:t>16℃-24℃</w:t>
            </w:r>
          </w:p>
        </w:tc>
      </w:tr>
      <w:tr w:rsidR="009020CD">
        <w:trPr>
          <w:trHeight w:val="472"/>
          <w:jc w:val="center"/>
        </w:trPr>
        <w:tc>
          <w:tcPr>
            <w:tcW w:w="1511" w:type="dxa"/>
            <w:vAlign w:val="center"/>
          </w:tcPr>
          <w:p w:rsidR="009020CD" w:rsidRDefault="00F96C03">
            <w:pPr>
              <w:jc w:val="center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Ciudades en que se hace la investigación local</w:t>
            </w:r>
          </w:p>
        </w:tc>
        <w:tc>
          <w:tcPr>
            <w:tcW w:w="1734" w:type="dxa"/>
            <w:vAlign w:val="center"/>
          </w:tcPr>
          <w:p w:rsidR="009020CD" w:rsidRDefault="00F96C03">
            <w:pPr>
              <w:jc w:val="center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Ciudad Chengdu y Ciudad Dujiangyan de Provincia Sichuan, Ciudad Suzhou de Provincia Jiangsu</w:t>
            </w:r>
          </w:p>
        </w:tc>
        <w:tc>
          <w:tcPr>
            <w:tcW w:w="3302" w:type="dxa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Temperatura</w:t>
            </w:r>
            <w:proofErr w:type="spellEnd"/>
            <w:r>
              <w:rPr>
                <w:szCs w:val="21"/>
              </w:rPr>
              <w:t xml:space="preserve"> local</w:t>
            </w:r>
          </w:p>
        </w:tc>
        <w:tc>
          <w:tcPr>
            <w:tcW w:w="3435" w:type="dxa"/>
            <w:gridSpan w:val="3"/>
            <w:vAlign w:val="center"/>
          </w:tcPr>
          <w:p w:rsidR="009020CD" w:rsidRDefault="00F96C03">
            <w:pPr>
              <w:ind w:firstLineChars="300" w:firstLine="630"/>
              <w:rPr>
                <w:szCs w:val="21"/>
              </w:rPr>
            </w:pPr>
            <w:r>
              <w:rPr>
                <w:szCs w:val="21"/>
              </w:rPr>
              <w:t>Chengdu: 17℃-26℃</w:t>
            </w:r>
          </w:p>
          <w:p w:rsidR="009020CD" w:rsidRDefault="00F96C03">
            <w:pPr>
              <w:ind w:firstLineChars="300" w:firstLine="630"/>
              <w:rPr>
                <w:szCs w:val="21"/>
              </w:rPr>
            </w:pPr>
            <w:proofErr w:type="spellStart"/>
            <w:r>
              <w:rPr>
                <w:szCs w:val="21"/>
              </w:rPr>
              <w:t>Dujiangyan</w:t>
            </w:r>
            <w:proofErr w:type="spellEnd"/>
            <w:r>
              <w:rPr>
                <w:szCs w:val="21"/>
              </w:rPr>
              <w:t>: 17℃-24℃</w:t>
            </w:r>
          </w:p>
          <w:p w:rsidR="009020CD" w:rsidRDefault="00F96C03">
            <w:pPr>
              <w:ind w:firstLineChars="300" w:firstLine="630"/>
              <w:rPr>
                <w:szCs w:val="21"/>
              </w:rPr>
            </w:pPr>
            <w:r>
              <w:rPr>
                <w:szCs w:val="21"/>
              </w:rPr>
              <w:t>Suzhou: 16℃-26℃</w:t>
            </w:r>
          </w:p>
        </w:tc>
      </w:tr>
      <w:tr w:rsidR="009020CD">
        <w:trPr>
          <w:trHeight w:val="472"/>
          <w:jc w:val="center"/>
        </w:trPr>
        <w:tc>
          <w:tcPr>
            <w:tcW w:w="1511" w:type="dxa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Notas</w:t>
            </w:r>
            <w:proofErr w:type="spellEnd"/>
          </w:p>
        </w:tc>
        <w:tc>
          <w:tcPr>
            <w:tcW w:w="8471" w:type="dxa"/>
            <w:gridSpan w:val="5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</w:t>
            </w:r>
          </w:p>
        </w:tc>
      </w:tr>
      <w:tr w:rsidR="009020CD">
        <w:trPr>
          <w:trHeight w:val="472"/>
          <w:jc w:val="center"/>
        </w:trPr>
        <w:tc>
          <w:tcPr>
            <w:tcW w:w="1511" w:type="dxa"/>
            <w:vMerge w:val="restart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Contacto</w:t>
            </w:r>
            <w:proofErr w:type="spellEnd"/>
            <w:r>
              <w:rPr>
                <w:szCs w:val="21"/>
              </w:rPr>
              <w:t xml:space="preserve"> del </w:t>
            </w:r>
            <w:proofErr w:type="spellStart"/>
            <w:r>
              <w:rPr>
                <w:szCs w:val="21"/>
              </w:rPr>
              <w:t>organizador</w:t>
            </w:r>
            <w:proofErr w:type="spellEnd"/>
          </w:p>
        </w:tc>
        <w:tc>
          <w:tcPr>
            <w:tcW w:w="1734" w:type="dxa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Responsible del </w:t>
            </w:r>
            <w:proofErr w:type="spellStart"/>
            <w:r>
              <w:rPr>
                <w:szCs w:val="21"/>
              </w:rPr>
              <w:t>proyecto</w:t>
            </w:r>
            <w:proofErr w:type="spellEnd"/>
          </w:p>
        </w:tc>
        <w:tc>
          <w:tcPr>
            <w:tcW w:w="6737" w:type="dxa"/>
            <w:gridSpan w:val="4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Sr. Shen </w:t>
            </w:r>
            <w:proofErr w:type="spellStart"/>
            <w:r>
              <w:rPr>
                <w:szCs w:val="21"/>
              </w:rPr>
              <w:t>Zhongyan</w:t>
            </w:r>
            <w:proofErr w:type="spellEnd"/>
          </w:p>
        </w:tc>
      </w:tr>
      <w:tr w:rsidR="009020CD">
        <w:trPr>
          <w:trHeight w:val="472"/>
          <w:jc w:val="center"/>
        </w:trPr>
        <w:tc>
          <w:tcPr>
            <w:tcW w:w="1511" w:type="dxa"/>
            <w:vMerge/>
            <w:vAlign w:val="center"/>
          </w:tcPr>
          <w:p w:rsidR="009020CD" w:rsidRDefault="009020CD">
            <w:pPr>
              <w:jc w:val="center"/>
              <w:rPr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Teléfono</w:t>
            </w:r>
            <w:proofErr w:type="spellEnd"/>
          </w:p>
        </w:tc>
        <w:tc>
          <w:tcPr>
            <w:tcW w:w="6737" w:type="dxa"/>
            <w:gridSpan w:val="4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0086-21-35312428</w:t>
            </w:r>
          </w:p>
        </w:tc>
      </w:tr>
      <w:tr w:rsidR="009020CD">
        <w:trPr>
          <w:trHeight w:val="472"/>
          <w:jc w:val="center"/>
        </w:trPr>
        <w:tc>
          <w:tcPr>
            <w:tcW w:w="1511" w:type="dxa"/>
            <w:vMerge/>
            <w:vAlign w:val="center"/>
          </w:tcPr>
          <w:p w:rsidR="009020CD" w:rsidRDefault="009020CD">
            <w:pPr>
              <w:jc w:val="center"/>
              <w:rPr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Móvil</w:t>
            </w:r>
            <w:proofErr w:type="spellEnd"/>
          </w:p>
        </w:tc>
        <w:tc>
          <w:tcPr>
            <w:tcW w:w="6737" w:type="dxa"/>
            <w:gridSpan w:val="4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0086-18721932398</w:t>
            </w:r>
          </w:p>
        </w:tc>
      </w:tr>
      <w:tr w:rsidR="009020CD">
        <w:trPr>
          <w:trHeight w:val="472"/>
          <w:jc w:val="center"/>
        </w:trPr>
        <w:tc>
          <w:tcPr>
            <w:tcW w:w="1511" w:type="dxa"/>
            <w:vMerge/>
            <w:vAlign w:val="center"/>
          </w:tcPr>
          <w:p w:rsidR="009020CD" w:rsidRDefault="009020CD">
            <w:pPr>
              <w:jc w:val="center"/>
              <w:rPr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Fax</w:t>
            </w:r>
          </w:p>
        </w:tc>
        <w:tc>
          <w:tcPr>
            <w:tcW w:w="6737" w:type="dxa"/>
            <w:gridSpan w:val="4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0086-21-35312428</w:t>
            </w:r>
          </w:p>
        </w:tc>
      </w:tr>
      <w:tr w:rsidR="009020CD">
        <w:trPr>
          <w:trHeight w:val="472"/>
          <w:jc w:val="center"/>
        </w:trPr>
        <w:tc>
          <w:tcPr>
            <w:tcW w:w="1511" w:type="dxa"/>
            <w:vMerge/>
            <w:vAlign w:val="center"/>
          </w:tcPr>
          <w:p w:rsidR="009020CD" w:rsidRDefault="009020CD">
            <w:pPr>
              <w:jc w:val="center"/>
              <w:rPr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6737" w:type="dxa"/>
            <w:gridSpan w:val="4"/>
            <w:vAlign w:val="center"/>
          </w:tcPr>
          <w:p w:rsidR="009020CD" w:rsidRDefault="00F96C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shyanxiujidi@126.com</w:t>
            </w:r>
          </w:p>
        </w:tc>
      </w:tr>
      <w:tr w:rsidR="009020CD">
        <w:trPr>
          <w:trHeight w:val="1835"/>
          <w:jc w:val="center"/>
        </w:trPr>
        <w:tc>
          <w:tcPr>
            <w:tcW w:w="1511" w:type="dxa"/>
            <w:vAlign w:val="center"/>
          </w:tcPr>
          <w:p w:rsidR="009020CD" w:rsidRDefault="00F96C03">
            <w:pPr>
              <w:jc w:val="center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lastRenderedPageBreak/>
              <w:t>Presentación del Organizador</w:t>
            </w:r>
          </w:p>
        </w:tc>
        <w:tc>
          <w:tcPr>
            <w:tcW w:w="8471" w:type="dxa"/>
            <w:gridSpan w:val="5"/>
            <w:vAlign w:val="center"/>
          </w:tcPr>
          <w:p w:rsidR="009020CD" w:rsidRDefault="00F96C03">
            <w:pPr>
              <w:spacing w:line="360" w:lineRule="auto"/>
              <w:ind w:firstLineChars="200" w:firstLine="420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Escuela de Negocios de Shanghai (Shanghai Business School), una universidad local de nivel grado, cuenta con tres campus (Xuhui Campus, Fengxian Campus y Yangpu Campus) y ocupa una superficie de 400 acres. En la universidad hay 26 carreras de nivel grado y 13 de formación profesional, dividadas en 7 disciplinas. Hasta ahora hay 500 docentes, entre los cuales un 88% tienen títulos de máster o doctorado. Escuela de Negocios de Shanghai dispone de medios de enseñanza modernizados y se encuentra entre los primeros en la perspectiva de Smart Campus a nivel internacional.</w:t>
            </w:r>
          </w:p>
          <w:p w:rsidR="009020CD" w:rsidRDefault="00F96C03">
            <w:pPr>
              <w:spacing w:line="360" w:lineRule="auto"/>
              <w:ind w:firstLineChars="200" w:firstLine="420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En 2010, el Centro de Formación Comercial de Shanghai fue calificado, por el Ministerio de Comercio, como “Base de Formación de Funcionarios Internacionales de Negocio”. En 2016, el Centro se incorporó a Escuela de Negocios de Shanghai, cuya meta educativa se concentra en mejorar la calidad de formación para extranjeros -- fomentar la administración interior y crear la marca universitaria. Se empeña en fortalecer la normalización de administración interior, aumentar los esfuerzos dedicados al sistema administrativo, ampliar la cadena de servicio en lo que se respecta a la formación, y al mismo tiempo, hacer hincapié en diseñar un servicio personalizado, creando así un ambiente cómodo para los alumnos extranjeros. Escuela de Negocios de Shanghai tiene como disciplina “difundir la amistad, servir a la diplomacia, mejorar la formación y tener en cuenta la factibilidad”. La universidad intenta convertir la “Base de Formación de Funcionarios Internacionales de Negocio” en un centro de formación, que tiene cierta influencia internacional, orientado a los extranjeros.</w:t>
            </w:r>
          </w:p>
          <w:p w:rsidR="009020CD" w:rsidRDefault="00F96C03">
            <w:pPr>
              <w:spacing w:line="360" w:lineRule="auto"/>
              <w:ind w:firstLineChars="200" w:firstLine="420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A finales de 2016, en estrecha colaboración con el Ministerio de Comercio y los departamentos relacionados, Escuela de Negocios de Shanghai llevó a cabo 83 seminarios sobre la formación de funcionarios internacionales de negocio, recibió a un total de 2043 funcionarios de 128 países y regiones, ha logrado resultados fructíferos y recibido numerosos elogios por parte de los participantes.</w:t>
            </w:r>
          </w:p>
        </w:tc>
      </w:tr>
      <w:tr w:rsidR="009020CD">
        <w:trPr>
          <w:trHeight w:val="3158"/>
          <w:jc w:val="center"/>
        </w:trPr>
        <w:tc>
          <w:tcPr>
            <w:tcW w:w="1511" w:type="dxa"/>
            <w:tcBorders>
              <w:bottom w:val="single" w:sz="8" w:space="0" w:color="auto"/>
            </w:tcBorders>
            <w:vAlign w:val="center"/>
          </w:tcPr>
          <w:p w:rsidR="009020CD" w:rsidRDefault="00F96C03">
            <w:pPr>
              <w:jc w:val="center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lastRenderedPageBreak/>
              <w:t>Presentación del proyecto</w:t>
            </w:r>
          </w:p>
        </w:tc>
        <w:tc>
          <w:tcPr>
            <w:tcW w:w="8471" w:type="dxa"/>
            <w:gridSpan w:val="5"/>
            <w:tcBorders>
              <w:bottom w:val="single" w:sz="8" w:space="0" w:color="auto"/>
            </w:tcBorders>
            <w:vAlign w:val="center"/>
          </w:tcPr>
          <w:p w:rsidR="009020CD" w:rsidRDefault="00F96C03">
            <w:pPr>
              <w:spacing w:line="360" w:lineRule="auto"/>
              <w:ind w:firstLineChars="200" w:firstLine="420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Encargado por el Ministerio de Comercio de China, Escuela de Negocios de Shanghai organiza este seminario. Este seminario abarca dos partes – discursos temáticos e investigaciones locales, las cuales abordan temas como: la crisis económica mundial y las perspectivas de recuperación económica, las experiencias y las lecciones que nos da la apertura financiera del mercado emergente, el proceso de la apertura financiera de China y las tendencias futuras, la apertura financiera y la construcción de la red de seguridad financiera, la supervisión financiera china bajo el marco de globalización financiera, las experiencias básicas sobre la apertura bancaria china y la prevención de riesgos, etc. Durante el seminario, se utilizan principalmente los modos de discusión, presentación de casos, enseñanza interactiva y se descata la combinación entre la enseñanza y la práctica.</w:t>
            </w:r>
          </w:p>
          <w:p w:rsidR="009020CD" w:rsidRDefault="00F96C03">
            <w:pPr>
              <w:spacing w:line="360" w:lineRule="auto"/>
              <w:ind w:firstLineChars="200" w:firstLine="420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Durante el seminario, los participantes van a visitar unas instituciones financieras como bancos, agencias de valores, compañías de seguros, etc., y al mismo tiempo, entrevistarán e intercambiarán sus opiniones con los expertos financieros para conocer mejor la situación actual del desarrollo del sector financiero de China. Además, los participantes van a hacer unas investigaciones locales en Chengdu y Dujiangyan de Provincia Sichuan y Suzhou de Provincia Jiangsu para conocer en lo más profundo y amplio las cosas aprendidas en las clases.</w:t>
            </w:r>
          </w:p>
          <w:p w:rsidR="009020CD" w:rsidRDefault="00F96C03">
            <w:pPr>
              <w:spacing w:line="360" w:lineRule="auto"/>
              <w:ind w:firstLineChars="200" w:firstLine="420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Este seminario trata de proporcionarles a los alumnos, en un periodo muy limitado, por medio de las clases temáticas e investigaciones locales, una valiosa plataforma para que ellos puedan ampliar sus horizontes, explorar nuevas ideas, intercambiar las experiencias y aumentar sus conocimientos.</w:t>
            </w:r>
          </w:p>
        </w:tc>
      </w:tr>
    </w:tbl>
    <w:p w:rsidR="009020CD" w:rsidRDefault="009020CD">
      <w:pPr>
        <w:spacing w:line="500" w:lineRule="exact"/>
        <w:jc w:val="center"/>
        <w:rPr>
          <w:rFonts w:eastAsia="黑体"/>
          <w:b/>
          <w:sz w:val="32"/>
          <w:szCs w:val="32"/>
          <w:lang w:val="es-ES"/>
        </w:rPr>
      </w:pPr>
    </w:p>
    <w:p w:rsidR="009020CD" w:rsidRDefault="009020CD">
      <w:pPr>
        <w:spacing w:line="500" w:lineRule="exact"/>
        <w:jc w:val="center"/>
        <w:rPr>
          <w:rFonts w:eastAsia="黑体"/>
          <w:b/>
          <w:sz w:val="32"/>
          <w:szCs w:val="32"/>
          <w:lang w:val="es-ES"/>
        </w:rPr>
      </w:pPr>
    </w:p>
    <w:p w:rsidR="009020CD" w:rsidRDefault="009020CD">
      <w:pPr>
        <w:spacing w:line="500" w:lineRule="exact"/>
        <w:jc w:val="center"/>
        <w:rPr>
          <w:rFonts w:eastAsia="黑体"/>
          <w:b/>
          <w:sz w:val="32"/>
          <w:szCs w:val="32"/>
          <w:lang w:val="es-ES"/>
        </w:rPr>
      </w:pPr>
    </w:p>
    <w:p w:rsidR="009020CD" w:rsidRDefault="009020CD">
      <w:pPr>
        <w:spacing w:line="500" w:lineRule="exact"/>
        <w:rPr>
          <w:rFonts w:eastAsia="黑体"/>
          <w:b/>
          <w:sz w:val="32"/>
          <w:szCs w:val="32"/>
          <w:lang w:val="es-ES"/>
        </w:rPr>
      </w:pPr>
    </w:p>
    <w:sectPr w:rsidR="00902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6463"/>
    <w:rsid w:val="00026E0D"/>
    <w:rsid w:val="000B24A6"/>
    <w:rsid w:val="000D70C5"/>
    <w:rsid w:val="000E331F"/>
    <w:rsid w:val="00104E2C"/>
    <w:rsid w:val="0011236B"/>
    <w:rsid w:val="00141FC1"/>
    <w:rsid w:val="00191066"/>
    <w:rsid w:val="00192D61"/>
    <w:rsid w:val="001A7E55"/>
    <w:rsid w:val="001D310C"/>
    <w:rsid w:val="00210AE3"/>
    <w:rsid w:val="00216DBD"/>
    <w:rsid w:val="00241938"/>
    <w:rsid w:val="002B784B"/>
    <w:rsid w:val="002C49B1"/>
    <w:rsid w:val="002E2585"/>
    <w:rsid w:val="002E4662"/>
    <w:rsid w:val="002E71EF"/>
    <w:rsid w:val="002F0F74"/>
    <w:rsid w:val="003423AE"/>
    <w:rsid w:val="00355881"/>
    <w:rsid w:val="003644EC"/>
    <w:rsid w:val="003729AE"/>
    <w:rsid w:val="00375CF2"/>
    <w:rsid w:val="003B1515"/>
    <w:rsid w:val="003B77C8"/>
    <w:rsid w:val="003E73B3"/>
    <w:rsid w:val="0040788A"/>
    <w:rsid w:val="00413008"/>
    <w:rsid w:val="004222D3"/>
    <w:rsid w:val="0042438F"/>
    <w:rsid w:val="00434E04"/>
    <w:rsid w:val="00496ACE"/>
    <w:rsid w:val="004A127C"/>
    <w:rsid w:val="004F3AF8"/>
    <w:rsid w:val="00516463"/>
    <w:rsid w:val="0058698A"/>
    <w:rsid w:val="005C3B87"/>
    <w:rsid w:val="00627FCF"/>
    <w:rsid w:val="00630840"/>
    <w:rsid w:val="00642AFD"/>
    <w:rsid w:val="006629A6"/>
    <w:rsid w:val="00674E32"/>
    <w:rsid w:val="00685E09"/>
    <w:rsid w:val="006B6D2C"/>
    <w:rsid w:val="006F58E7"/>
    <w:rsid w:val="00766E09"/>
    <w:rsid w:val="0078054B"/>
    <w:rsid w:val="007824C8"/>
    <w:rsid w:val="0078736B"/>
    <w:rsid w:val="007D4C04"/>
    <w:rsid w:val="007F44DC"/>
    <w:rsid w:val="0080385E"/>
    <w:rsid w:val="00832CBD"/>
    <w:rsid w:val="0083318D"/>
    <w:rsid w:val="0084667B"/>
    <w:rsid w:val="00864F8D"/>
    <w:rsid w:val="00873859"/>
    <w:rsid w:val="00876F91"/>
    <w:rsid w:val="00893CD4"/>
    <w:rsid w:val="0089787A"/>
    <w:rsid w:val="008A19EB"/>
    <w:rsid w:val="009020CD"/>
    <w:rsid w:val="00925CFA"/>
    <w:rsid w:val="00961F81"/>
    <w:rsid w:val="00963E06"/>
    <w:rsid w:val="009C286C"/>
    <w:rsid w:val="009C28ED"/>
    <w:rsid w:val="009C70BB"/>
    <w:rsid w:val="009D3117"/>
    <w:rsid w:val="00A36F60"/>
    <w:rsid w:val="00A378CF"/>
    <w:rsid w:val="00A53904"/>
    <w:rsid w:val="00A914EE"/>
    <w:rsid w:val="00AC396A"/>
    <w:rsid w:val="00AF31B2"/>
    <w:rsid w:val="00AF6871"/>
    <w:rsid w:val="00AF7C3F"/>
    <w:rsid w:val="00B066AB"/>
    <w:rsid w:val="00B453E3"/>
    <w:rsid w:val="00C00104"/>
    <w:rsid w:val="00C03547"/>
    <w:rsid w:val="00C255A5"/>
    <w:rsid w:val="00C52779"/>
    <w:rsid w:val="00C56A16"/>
    <w:rsid w:val="00C777DB"/>
    <w:rsid w:val="00CC3949"/>
    <w:rsid w:val="00CD44D4"/>
    <w:rsid w:val="00D11232"/>
    <w:rsid w:val="00D33E25"/>
    <w:rsid w:val="00D50CCD"/>
    <w:rsid w:val="00D55025"/>
    <w:rsid w:val="00D76085"/>
    <w:rsid w:val="00DF5248"/>
    <w:rsid w:val="00E47A81"/>
    <w:rsid w:val="00E50702"/>
    <w:rsid w:val="00EC148D"/>
    <w:rsid w:val="00EC6A9A"/>
    <w:rsid w:val="00EE6D22"/>
    <w:rsid w:val="00F56BA9"/>
    <w:rsid w:val="00F71782"/>
    <w:rsid w:val="00F91185"/>
    <w:rsid w:val="00F92405"/>
    <w:rsid w:val="00F96C03"/>
    <w:rsid w:val="00FA330C"/>
    <w:rsid w:val="00FA57D7"/>
    <w:rsid w:val="00FB53FC"/>
    <w:rsid w:val="00FE0162"/>
    <w:rsid w:val="00FE1F05"/>
    <w:rsid w:val="00FF7585"/>
    <w:rsid w:val="00FF7DB8"/>
    <w:rsid w:val="02111E9A"/>
    <w:rsid w:val="0C2E3F3C"/>
    <w:rsid w:val="14583CC5"/>
    <w:rsid w:val="1A3C7A43"/>
    <w:rsid w:val="1D5941F1"/>
    <w:rsid w:val="24953DA8"/>
    <w:rsid w:val="282F48BC"/>
    <w:rsid w:val="2BB92483"/>
    <w:rsid w:val="32E805CC"/>
    <w:rsid w:val="339E7BB1"/>
    <w:rsid w:val="3A7435C9"/>
    <w:rsid w:val="3A7F0F2F"/>
    <w:rsid w:val="3C851199"/>
    <w:rsid w:val="4A2F3ECC"/>
    <w:rsid w:val="4A997A33"/>
    <w:rsid w:val="4CEF2B32"/>
    <w:rsid w:val="50170B76"/>
    <w:rsid w:val="5C7A6ABF"/>
    <w:rsid w:val="5D796102"/>
    <w:rsid w:val="68976A60"/>
    <w:rsid w:val="707E5150"/>
    <w:rsid w:val="71D6238B"/>
    <w:rsid w:val="72125DF3"/>
    <w:rsid w:val="727C4FBD"/>
    <w:rsid w:val="7A8C3CE3"/>
    <w:rsid w:val="7C16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91A695-75E4-44EC-A2E6-34434392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Company>Microsoft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Oficina</cp:lastModifiedBy>
  <cp:revision>3</cp:revision>
  <dcterms:created xsi:type="dcterms:W3CDTF">2017-03-23T20:05:00Z</dcterms:created>
  <dcterms:modified xsi:type="dcterms:W3CDTF">2017-03-23T21:34:00Z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